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CD9" w:rsidRPr="00F90CD9" w:rsidRDefault="000E70C3" w:rsidP="00F90CD9">
      <w:pPr>
        <w:pStyle w:val="a5"/>
        <w:keepLines/>
        <w:widowControl/>
        <w:tabs>
          <w:tab w:val="right" w:pos="10440"/>
          <w:tab w:val="right" w:pos="13323"/>
        </w:tabs>
        <w:rPr>
          <w:rFonts w:asciiTheme="minorHAnsi" w:eastAsia="MS Mincho" w:hAnsiTheme="minorHAnsi" w:cs="Arial"/>
          <w:noProof w:val="0"/>
          <w:sz w:val="22"/>
          <w:szCs w:val="24"/>
        </w:rPr>
      </w:pPr>
      <w:r>
        <w:rPr>
          <w:rFonts w:asciiTheme="minorHAnsi" w:eastAsia="MS Mincho" w:hAnsiTheme="minorHAnsi" w:cs="Arial"/>
          <w:noProof w:val="0"/>
          <w:sz w:val="22"/>
          <w:szCs w:val="24"/>
        </w:rPr>
        <w:t>3GPP TSG-RAN WG4 Meeting #96</w:t>
      </w:r>
      <w:r w:rsidR="00F90CD9" w:rsidRPr="00F90CD9">
        <w:rPr>
          <w:rFonts w:asciiTheme="minorHAnsi" w:eastAsia="MS Mincho" w:hAnsiTheme="minorHAnsi" w:cs="Arial"/>
          <w:noProof w:val="0"/>
          <w:sz w:val="22"/>
          <w:szCs w:val="24"/>
        </w:rPr>
        <w:t xml:space="preserve">-e                                 </w:t>
      </w:r>
      <w:r w:rsidR="00F90CD9">
        <w:rPr>
          <w:rFonts w:asciiTheme="minorHAnsi" w:eastAsia="MS Mincho" w:hAnsiTheme="minorHAnsi" w:cs="Arial"/>
          <w:noProof w:val="0"/>
          <w:sz w:val="22"/>
          <w:szCs w:val="24"/>
        </w:rPr>
        <w:t xml:space="preserve">      </w:t>
      </w:r>
      <w:r w:rsidR="00F90CD9" w:rsidRPr="00F90CD9">
        <w:rPr>
          <w:rFonts w:asciiTheme="minorHAnsi" w:eastAsia="MS Mincho" w:hAnsiTheme="minorHAnsi" w:cs="Arial"/>
          <w:noProof w:val="0"/>
          <w:sz w:val="22"/>
          <w:szCs w:val="24"/>
        </w:rPr>
        <w:t xml:space="preserve">         </w:t>
      </w:r>
      <w:r w:rsidR="00DE1800" w:rsidRPr="00DE1800">
        <w:rPr>
          <w:rFonts w:asciiTheme="minorHAnsi" w:eastAsia="MS Mincho" w:hAnsiTheme="minorHAnsi" w:cs="Arial"/>
          <w:noProof w:val="0"/>
          <w:sz w:val="22"/>
          <w:szCs w:val="24"/>
        </w:rPr>
        <w:t>R4-2010212</w:t>
      </w:r>
      <w:bookmarkStart w:id="0" w:name="_GoBack"/>
      <w:bookmarkEnd w:id="0"/>
    </w:p>
    <w:p w:rsidR="00F90CD9" w:rsidRPr="00F90CD9" w:rsidRDefault="00F90CD9" w:rsidP="00F90CD9">
      <w:pPr>
        <w:pStyle w:val="a5"/>
        <w:tabs>
          <w:tab w:val="right" w:pos="9781"/>
          <w:tab w:val="right" w:pos="13323"/>
        </w:tabs>
        <w:outlineLvl w:val="0"/>
        <w:rPr>
          <w:rFonts w:asciiTheme="minorHAnsi" w:eastAsia="MS Mincho" w:hAnsiTheme="minorHAnsi" w:cs="Arial"/>
          <w:noProof w:val="0"/>
          <w:sz w:val="22"/>
          <w:szCs w:val="24"/>
        </w:rPr>
      </w:pPr>
      <w:r w:rsidRPr="00F90CD9">
        <w:rPr>
          <w:rFonts w:asciiTheme="minorHAnsi" w:eastAsia="MS Mincho" w:hAnsiTheme="minorHAnsi" w:cs="Arial"/>
          <w:noProof w:val="0"/>
          <w:sz w:val="22"/>
          <w:szCs w:val="24"/>
        </w:rPr>
        <w:t xml:space="preserve">Electronic Meeting, </w:t>
      </w:r>
      <w:r w:rsidRPr="00F90CD9">
        <w:rPr>
          <w:rFonts w:asciiTheme="minorHAnsi" w:hAnsiTheme="minorHAnsi"/>
          <w:sz w:val="22"/>
        </w:rPr>
        <w:t>17-28 Aug., 2020</w:t>
      </w:r>
    </w:p>
    <w:p w:rsidR="00926815" w:rsidRPr="00F90CD9" w:rsidRDefault="00926815" w:rsidP="00811EEE">
      <w:pPr>
        <w:ind w:left="1985" w:hanging="1985"/>
        <w:rPr>
          <w:rFonts w:cs="Arial"/>
          <w:b/>
          <w:bCs/>
        </w:rPr>
      </w:pPr>
    </w:p>
    <w:p w:rsidR="00307CD1" w:rsidRPr="00F90CD9" w:rsidRDefault="00307CD1" w:rsidP="00307CD1">
      <w:pPr>
        <w:ind w:left="1985" w:hanging="1985"/>
        <w:rPr>
          <w:rFonts w:cs="Arial"/>
          <w:b/>
          <w:bCs/>
        </w:rPr>
      </w:pPr>
      <w:r w:rsidRPr="00F90CD9">
        <w:rPr>
          <w:rFonts w:cs="Arial"/>
          <w:b/>
          <w:bCs/>
        </w:rPr>
        <w:t>Agenda Item:</w:t>
      </w:r>
      <w:r w:rsidRPr="00F90CD9">
        <w:rPr>
          <w:rFonts w:cs="Arial"/>
          <w:b/>
          <w:bCs/>
        </w:rPr>
        <w:tab/>
      </w:r>
      <w:r w:rsidR="00D2540E">
        <w:rPr>
          <w:rFonts w:cs="Arial"/>
          <w:b/>
          <w:bCs/>
        </w:rPr>
        <w:t>7.1.5.6</w:t>
      </w:r>
    </w:p>
    <w:p w:rsidR="0034111C" w:rsidRPr="00F90CD9" w:rsidRDefault="0034111C" w:rsidP="00A37145">
      <w:pPr>
        <w:ind w:left="1985" w:hanging="1985"/>
        <w:rPr>
          <w:rFonts w:cs="Arial"/>
          <w:b/>
          <w:bCs/>
        </w:rPr>
      </w:pPr>
      <w:r w:rsidRPr="00F90CD9">
        <w:rPr>
          <w:rFonts w:cs="Arial"/>
          <w:b/>
          <w:bCs/>
        </w:rPr>
        <w:t>Source:</w:t>
      </w:r>
      <w:r w:rsidRPr="00F90CD9">
        <w:rPr>
          <w:rFonts w:cs="Arial"/>
          <w:b/>
          <w:bCs/>
        </w:rPr>
        <w:tab/>
      </w:r>
      <w:r w:rsidR="002E58D2" w:rsidRPr="00F90CD9">
        <w:rPr>
          <w:rFonts w:cs="Arial"/>
          <w:b/>
          <w:bCs/>
        </w:rPr>
        <w:t>MediaTek Inc.</w:t>
      </w:r>
    </w:p>
    <w:p w:rsidR="00174EC2" w:rsidRPr="00F90CD9" w:rsidRDefault="0034111C" w:rsidP="007A4FCF">
      <w:pPr>
        <w:ind w:left="1985" w:hanging="1985"/>
        <w:rPr>
          <w:rFonts w:cs="Arial"/>
          <w:b/>
          <w:bCs/>
        </w:rPr>
      </w:pPr>
      <w:r w:rsidRPr="00F90CD9">
        <w:rPr>
          <w:rFonts w:cs="Arial"/>
          <w:b/>
          <w:bCs/>
        </w:rPr>
        <w:t>Title:</w:t>
      </w:r>
      <w:r w:rsidRPr="00F90CD9">
        <w:rPr>
          <w:rFonts w:cs="Arial"/>
          <w:b/>
          <w:bCs/>
        </w:rPr>
        <w:tab/>
      </w:r>
      <w:r w:rsidR="0090012D" w:rsidRPr="00F90CD9">
        <w:rPr>
          <w:b/>
        </w:rPr>
        <w:t xml:space="preserve">Discussion </w:t>
      </w:r>
      <w:r w:rsidR="0052593A" w:rsidRPr="00F90CD9">
        <w:rPr>
          <w:b/>
        </w:rPr>
        <w:t xml:space="preserve">on </w:t>
      </w:r>
      <w:r w:rsidR="0086105F" w:rsidRPr="00F90CD9">
        <w:rPr>
          <w:b/>
        </w:rPr>
        <w:t xml:space="preserve">active TCI state switch delay in </w:t>
      </w:r>
      <w:r w:rsidR="0090012D" w:rsidRPr="00F90CD9">
        <w:rPr>
          <w:b/>
        </w:rPr>
        <w:t>NR-U</w:t>
      </w:r>
    </w:p>
    <w:p w:rsidR="0034111C" w:rsidRPr="00F90CD9" w:rsidRDefault="0034111C" w:rsidP="007A4FCF">
      <w:pPr>
        <w:ind w:left="1985" w:hanging="1985"/>
        <w:rPr>
          <w:rFonts w:cs="Arial"/>
          <w:b/>
          <w:bCs/>
        </w:rPr>
      </w:pPr>
      <w:r w:rsidRPr="00F90CD9">
        <w:rPr>
          <w:rFonts w:cs="Arial"/>
          <w:b/>
          <w:bCs/>
        </w:rPr>
        <w:t>Document for:</w:t>
      </w:r>
      <w:r w:rsidRPr="00F90CD9">
        <w:rPr>
          <w:rFonts w:cs="Arial"/>
          <w:b/>
          <w:bCs/>
        </w:rPr>
        <w:tab/>
      </w:r>
      <w:r w:rsidRPr="00F90CD9">
        <w:rPr>
          <w:rFonts w:cs="Arial"/>
          <w:b/>
          <w:bCs/>
        </w:rPr>
        <w:tab/>
      </w:r>
      <w:r w:rsidR="00E85D04" w:rsidRPr="00F90CD9">
        <w:rPr>
          <w:rFonts w:cs="Arial"/>
          <w:b/>
          <w:bCs/>
        </w:rPr>
        <w:t>Discussion</w:t>
      </w:r>
    </w:p>
    <w:p w:rsidR="0034111C" w:rsidRPr="000C45FD" w:rsidRDefault="0034111C" w:rsidP="00544349">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5608B4" w:rsidRDefault="006734ED" w:rsidP="001E3BD8">
      <w:pPr>
        <w:jc w:val="both"/>
        <w:rPr>
          <w:lang w:val="en-GB"/>
        </w:rPr>
      </w:pPr>
      <w:r w:rsidRPr="008A2C2B">
        <w:t>In this paper</w:t>
      </w:r>
      <w:r w:rsidR="00900E02">
        <w:t xml:space="preserve"> we provide our</w:t>
      </w:r>
      <w:r w:rsidRPr="008A2C2B">
        <w:t xml:space="preserve"> view on </w:t>
      </w:r>
      <w:r w:rsidR="00E55C44">
        <w:t xml:space="preserve">the remaining issues of </w:t>
      </w:r>
      <w:r w:rsidR="00A730DB">
        <w:t>timing</w:t>
      </w:r>
      <w:r w:rsidR="00DD7722" w:rsidRPr="008A2C2B">
        <w:t xml:space="preserve"> </w:t>
      </w:r>
      <w:r w:rsidR="00617CB4" w:rsidRPr="008A2C2B">
        <w:t>requirement</w:t>
      </w:r>
      <w:r w:rsidR="00900E02">
        <w:t>s</w:t>
      </w:r>
      <w:r w:rsidR="00617CB4" w:rsidRPr="008A2C2B">
        <w:t xml:space="preserve"> for NR-U</w:t>
      </w:r>
      <w:r w:rsidR="005608B4">
        <w:rPr>
          <w:lang w:val="en-GB"/>
        </w:rPr>
        <w:t>, including</w:t>
      </w:r>
    </w:p>
    <w:p w:rsidR="0090012D" w:rsidRDefault="005608B4" w:rsidP="005608B4">
      <w:pPr>
        <w:pStyle w:val="af5"/>
        <w:numPr>
          <w:ilvl w:val="0"/>
          <w:numId w:val="27"/>
        </w:numPr>
        <w:jc w:val="both"/>
      </w:pPr>
      <w:r>
        <w:t>Unknown TCI switch</w:t>
      </w:r>
    </w:p>
    <w:p w:rsidR="006F28ED" w:rsidRPr="006F28ED" w:rsidRDefault="006F28ED" w:rsidP="006F28ED">
      <w:pPr>
        <w:pStyle w:val="af5"/>
        <w:numPr>
          <w:ilvl w:val="0"/>
          <w:numId w:val="27"/>
        </w:numPr>
      </w:pPr>
      <w:r w:rsidRPr="006F28ED">
        <w:t>MAC-CE based TCI state switch delay</w:t>
      </w:r>
    </w:p>
    <w:p w:rsidR="006F28ED" w:rsidRPr="008A2C2B" w:rsidRDefault="006F28ED" w:rsidP="006F28ED">
      <w:pPr>
        <w:pStyle w:val="af5"/>
        <w:numPr>
          <w:ilvl w:val="0"/>
          <w:numId w:val="27"/>
        </w:numPr>
      </w:pPr>
      <w:r>
        <w:t>RRC</w:t>
      </w:r>
      <w:r w:rsidRPr="006F28ED">
        <w:t xml:space="preserve"> based TCI state switch delay</w:t>
      </w:r>
    </w:p>
    <w:p w:rsidR="00EB39A4" w:rsidRDefault="00EB39A4" w:rsidP="00EB39A4">
      <w:pPr>
        <w:pStyle w:val="1"/>
        <w:numPr>
          <w:ilvl w:val="0"/>
          <w:numId w:val="1"/>
        </w:numPr>
        <w:rPr>
          <w:rFonts w:ascii="Calibri" w:hAnsi="Calibri"/>
        </w:rPr>
      </w:pPr>
      <w:bookmarkStart w:id="1" w:name="Title"/>
      <w:bookmarkStart w:id="2" w:name="DocumentFor"/>
      <w:bookmarkEnd w:id="1"/>
      <w:bookmarkEnd w:id="2"/>
      <w:r>
        <w:rPr>
          <w:rFonts w:ascii="Calibri" w:hAnsi="Calibri"/>
        </w:rPr>
        <w:t xml:space="preserve">L1-RSRP measurement during unknown </w:t>
      </w:r>
      <w:r w:rsidRPr="00AE1248">
        <w:rPr>
          <w:rFonts w:ascii="Calibri" w:hAnsi="Calibri"/>
        </w:rPr>
        <w:t xml:space="preserve">TCI state switch </w:t>
      </w:r>
    </w:p>
    <w:p w:rsidR="00E019A0" w:rsidRDefault="007C401C" w:rsidP="009C4D8A">
      <w:pPr>
        <w:pStyle w:val="CRCoverPage"/>
        <w:tabs>
          <w:tab w:val="left" w:pos="383"/>
        </w:tabs>
        <w:spacing w:after="0"/>
        <w:jc w:val="both"/>
        <w:rPr>
          <w:rFonts w:asciiTheme="minorHAnsi" w:eastAsiaTheme="minorEastAsia" w:hAnsiTheme="minorHAnsi" w:cstheme="minorBidi"/>
          <w:sz w:val="22"/>
          <w:szCs w:val="22"/>
          <w:lang w:val="en-US" w:eastAsia="zh-CN"/>
        </w:rPr>
      </w:pPr>
      <w:r w:rsidRPr="00363B94">
        <w:rPr>
          <w:rFonts w:asciiTheme="minorHAnsi" w:eastAsiaTheme="minorEastAsia" w:hAnsiTheme="minorHAnsi" w:cstheme="minorBidi"/>
          <w:sz w:val="22"/>
          <w:szCs w:val="22"/>
          <w:lang w:val="en-US" w:eastAsia="zh-CN"/>
        </w:rPr>
        <w:t xml:space="preserve">During the unknown TCI state switch, both for MAC-CE based and RRC-based, </w:t>
      </w:r>
      <w:r w:rsidR="00E019A0" w:rsidRPr="00363B94">
        <w:rPr>
          <w:rFonts w:asciiTheme="minorHAnsi" w:eastAsiaTheme="minorEastAsia" w:hAnsiTheme="minorHAnsi" w:cstheme="minorBidi"/>
          <w:sz w:val="22"/>
          <w:szCs w:val="22"/>
          <w:lang w:val="en-US" w:eastAsia="zh-CN"/>
        </w:rPr>
        <w:t xml:space="preserve">L1-RSRP measurement is considered for Rx beam refinement for the </w:t>
      </w:r>
      <w:r w:rsidR="00E12954" w:rsidRPr="00363B94">
        <w:rPr>
          <w:rFonts w:asciiTheme="minorHAnsi" w:eastAsiaTheme="minorEastAsia" w:hAnsiTheme="minorHAnsi" w:cstheme="minorBidi"/>
          <w:sz w:val="22"/>
          <w:szCs w:val="22"/>
          <w:lang w:val="en-US" w:eastAsia="zh-CN"/>
        </w:rPr>
        <w:t>target</w:t>
      </w:r>
      <w:r w:rsidR="00E019A0" w:rsidRPr="00363B94">
        <w:rPr>
          <w:rFonts w:asciiTheme="minorHAnsi" w:eastAsiaTheme="minorEastAsia" w:hAnsiTheme="minorHAnsi" w:cstheme="minorBidi"/>
          <w:sz w:val="22"/>
          <w:szCs w:val="22"/>
          <w:lang w:val="en-US" w:eastAsia="zh-CN"/>
        </w:rPr>
        <w:t xml:space="preserve"> TCI state</w:t>
      </w:r>
      <w:r w:rsidR="001A0CB2" w:rsidRPr="00363B94">
        <w:rPr>
          <w:rFonts w:asciiTheme="minorHAnsi" w:eastAsiaTheme="minorEastAsia" w:hAnsiTheme="minorHAnsi" w:cstheme="minorBidi"/>
          <w:sz w:val="22"/>
          <w:szCs w:val="22"/>
          <w:lang w:val="en-US" w:eastAsia="zh-CN"/>
        </w:rPr>
        <w:t xml:space="preserve"> in FR2</w:t>
      </w:r>
      <w:r w:rsidR="00E019A0" w:rsidRPr="00363B94">
        <w:rPr>
          <w:rFonts w:asciiTheme="minorHAnsi" w:eastAsiaTheme="minorEastAsia" w:hAnsiTheme="minorHAnsi" w:cstheme="minorBidi"/>
          <w:sz w:val="22"/>
          <w:szCs w:val="22"/>
          <w:lang w:val="en-US" w:eastAsia="zh-CN"/>
        </w:rPr>
        <w:t xml:space="preserve">. However, </w:t>
      </w:r>
      <w:r w:rsidR="001A0CB2" w:rsidRPr="00363B94">
        <w:rPr>
          <w:rFonts w:asciiTheme="minorHAnsi" w:eastAsiaTheme="minorEastAsia" w:hAnsiTheme="minorHAnsi" w:cstheme="minorBidi"/>
          <w:sz w:val="22"/>
          <w:szCs w:val="22"/>
          <w:lang w:val="en-US" w:eastAsia="zh-CN"/>
        </w:rPr>
        <w:t xml:space="preserve">the </w:t>
      </w:r>
      <w:r w:rsidRPr="00363B94">
        <w:rPr>
          <w:rFonts w:asciiTheme="minorHAnsi" w:eastAsiaTheme="minorEastAsia" w:hAnsiTheme="minorHAnsi" w:cstheme="minorBidi"/>
          <w:sz w:val="22"/>
          <w:szCs w:val="22"/>
          <w:lang w:val="en-US" w:eastAsia="zh-CN"/>
        </w:rPr>
        <w:t xml:space="preserve">L1-RSRP measurement </w:t>
      </w:r>
      <w:r w:rsidR="00E019A0" w:rsidRPr="00363B94">
        <w:rPr>
          <w:rFonts w:asciiTheme="minorHAnsi" w:eastAsiaTheme="minorEastAsia" w:hAnsiTheme="minorHAnsi" w:cstheme="minorBidi"/>
          <w:sz w:val="22"/>
          <w:szCs w:val="22"/>
          <w:lang w:val="en-US" w:eastAsia="zh-CN"/>
        </w:rPr>
        <w:t xml:space="preserve">is not required </w:t>
      </w:r>
      <w:r w:rsidR="001A0CB2" w:rsidRPr="00363B94">
        <w:rPr>
          <w:rFonts w:asciiTheme="minorHAnsi" w:eastAsiaTheme="minorEastAsia" w:hAnsiTheme="minorHAnsi" w:cstheme="minorBidi"/>
          <w:sz w:val="22"/>
          <w:szCs w:val="22"/>
          <w:lang w:val="en-US" w:eastAsia="zh-CN"/>
        </w:rPr>
        <w:t xml:space="preserve">in R16 NR-U in FR1 </w:t>
      </w:r>
      <w:r w:rsidR="00E019A0" w:rsidRPr="00363B94">
        <w:rPr>
          <w:rFonts w:asciiTheme="minorHAnsi" w:eastAsiaTheme="minorEastAsia" w:hAnsiTheme="minorHAnsi" w:cstheme="minorBidi"/>
          <w:sz w:val="22"/>
          <w:szCs w:val="22"/>
          <w:lang w:val="en-US" w:eastAsia="zh-CN"/>
        </w:rPr>
        <w:t xml:space="preserve">and should be removed. </w:t>
      </w:r>
    </w:p>
    <w:p w:rsidR="00363B94" w:rsidRPr="00363B94" w:rsidRDefault="00363B94" w:rsidP="009C4D8A">
      <w:pPr>
        <w:pStyle w:val="CRCoverPage"/>
        <w:tabs>
          <w:tab w:val="left" w:pos="383"/>
        </w:tabs>
        <w:spacing w:after="0"/>
        <w:jc w:val="both"/>
        <w:rPr>
          <w:rFonts w:asciiTheme="minorHAnsi" w:eastAsiaTheme="minorEastAsia" w:hAnsiTheme="minorHAnsi" w:cstheme="minorBidi"/>
          <w:sz w:val="22"/>
          <w:szCs w:val="22"/>
          <w:lang w:val="en-US" w:eastAsia="zh-CN"/>
        </w:rPr>
      </w:pPr>
    </w:p>
    <w:p w:rsidR="00EB39A4" w:rsidRPr="00AF009B" w:rsidRDefault="00E019A0" w:rsidP="00AF009B">
      <w:pPr>
        <w:jc w:val="both"/>
        <w:rPr>
          <w:rFonts w:ascii="Calibri" w:eastAsia="SimSun" w:hAnsi="Calibri" w:cs="Arial"/>
          <w:b/>
          <w:bCs/>
        </w:rPr>
      </w:pPr>
      <w:bookmarkStart w:id="3" w:name="_Ref47266257"/>
      <w:r w:rsidRPr="00E019A0">
        <w:rPr>
          <w:rFonts w:ascii="Calibri" w:eastAsia="SimSun" w:hAnsi="Calibri" w:cs="Arial"/>
          <w:b/>
          <w:bCs/>
        </w:rPr>
        <w:t xml:space="preserve">Proposal </w:t>
      </w:r>
      <w:r w:rsidRPr="00E019A0">
        <w:rPr>
          <w:rFonts w:ascii="Calibri" w:eastAsia="SimSun" w:hAnsi="Calibri" w:cs="Arial"/>
          <w:b/>
          <w:bCs/>
        </w:rPr>
        <w:fldChar w:fldCharType="begin"/>
      </w:r>
      <w:r w:rsidRPr="00E019A0">
        <w:rPr>
          <w:rFonts w:ascii="Calibri" w:eastAsia="SimSun" w:hAnsi="Calibri" w:cs="Arial"/>
          <w:b/>
          <w:bCs/>
        </w:rPr>
        <w:instrText xml:space="preserve"> SEQ Proposal \* ARABIC </w:instrText>
      </w:r>
      <w:r w:rsidRPr="00E019A0">
        <w:rPr>
          <w:rFonts w:ascii="Calibri" w:eastAsia="SimSun" w:hAnsi="Calibri" w:cs="Arial"/>
          <w:b/>
          <w:bCs/>
        </w:rPr>
        <w:fldChar w:fldCharType="separate"/>
      </w:r>
      <w:r w:rsidR="00825EAF">
        <w:rPr>
          <w:rFonts w:ascii="Calibri" w:eastAsia="SimSun" w:hAnsi="Calibri" w:cs="Arial"/>
          <w:b/>
          <w:bCs/>
          <w:noProof/>
        </w:rPr>
        <w:t>1</w:t>
      </w:r>
      <w:r w:rsidRPr="00E019A0">
        <w:rPr>
          <w:rFonts w:ascii="Calibri" w:eastAsia="SimSun" w:hAnsi="Calibri" w:cs="Arial"/>
          <w:b/>
          <w:bCs/>
        </w:rPr>
        <w:fldChar w:fldCharType="end"/>
      </w:r>
      <w:r w:rsidRPr="00E019A0">
        <w:rPr>
          <w:rFonts w:ascii="Calibri" w:eastAsia="SimSun" w:hAnsi="Calibri" w:cs="Arial"/>
          <w:b/>
          <w:bCs/>
        </w:rPr>
        <w:t xml:space="preserve">: </w:t>
      </w:r>
      <w:r>
        <w:rPr>
          <w:rFonts w:ascii="Calibri" w:eastAsia="SimSun" w:hAnsi="Calibri" w:cs="Arial"/>
          <w:b/>
          <w:bCs/>
        </w:rPr>
        <w:t xml:space="preserve">Remove </w:t>
      </w:r>
      <w:r w:rsidRPr="00E019A0">
        <w:rPr>
          <w:rFonts w:ascii="Calibri" w:eastAsia="SimSun" w:hAnsi="Calibri" w:cs="Arial"/>
          <w:b/>
          <w:bCs/>
        </w:rPr>
        <w:t>L1-RSRP measurement from the requirement of unknown TCI state switch in NR-U.</w:t>
      </w:r>
      <w:bookmarkEnd w:id="3"/>
      <w:r w:rsidRPr="00E019A0">
        <w:rPr>
          <w:rFonts w:ascii="Calibri" w:eastAsia="SimSun" w:hAnsi="Calibri" w:cs="Arial"/>
          <w:b/>
          <w:bCs/>
        </w:rPr>
        <w:t xml:space="preserve"> </w:t>
      </w:r>
    </w:p>
    <w:p w:rsidR="00AE1248" w:rsidRPr="00AE1248" w:rsidRDefault="00AE1248" w:rsidP="00AE1248">
      <w:pPr>
        <w:pStyle w:val="1"/>
        <w:numPr>
          <w:ilvl w:val="0"/>
          <w:numId w:val="1"/>
        </w:numPr>
        <w:rPr>
          <w:rFonts w:ascii="Calibri" w:hAnsi="Calibri"/>
        </w:rPr>
      </w:pPr>
      <w:r w:rsidRPr="00AE1248">
        <w:rPr>
          <w:rFonts w:ascii="Calibri" w:hAnsi="Calibri"/>
        </w:rPr>
        <w:t>MAC-CE based TCI state switch delay</w:t>
      </w:r>
    </w:p>
    <w:p w:rsidR="00931B4F" w:rsidRPr="00363B94" w:rsidRDefault="00DE1800" w:rsidP="009C4D8A">
      <w:pPr>
        <w:pStyle w:val="CRCoverPage"/>
        <w:tabs>
          <w:tab w:val="left" w:pos="383"/>
        </w:tabs>
        <w:spacing w:after="0"/>
        <w:jc w:val="both"/>
        <w:rPr>
          <w:rFonts w:asciiTheme="minorHAnsi" w:eastAsiaTheme="minorEastAsia" w:hAnsiTheme="minorHAnsi" w:cstheme="minorBidi"/>
          <w:sz w:val="22"/>
          <w:szCs w:val="22"/>
          <w:lang w:val="en-US" w:eastAsia="zh-CN"/>
        </w:rPr>
      </w:pPr>
      <w:r>
        <w:rPr>
          <w:rFonts w:asciiTheme="minorHAnsi" w:eastAsiaTheme="minorEastAsia" w:hAnsiTheme="minorHAnsi" w:cstheme="minorBidi"/>
          <w:sz w:val="22"/>
          <w:szCs w:val="22"/>
          <w:lang w:val="en-US" w:eastAsia="zh-CN"/>
        </w:rPr>
        <w:pict>
          <v:shapetype id="_x0000_t202" coordsize="21600,21600" o:spt="202" path="m,l,21600r21600,l21600,xe">
            <v:stroke joinstyle="miter"/>
            <v:path gradientshapeok="t" o:connecttype="rect"/>
          </v:shapetype>
          <v:shape id="Text Box 2" o:spid="_x0000_s1026" type="#_x0000_t202" style="position:absolute;left:0;text-align:left;margin-left:5.2pt;margin-top:45.15pt;width:471.2pt;height:172.1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w:txbxContent>
                <w:p w:rsidR="00931B4F" w:rsidRPr="00931B4F" w:rsidRDefault="00931B4F" w:rsidP="00931B4F">
                  <w:pPr>
                    <w:rPr>
                      <w:sz w:val="18"/>
                    </w:rPr>
                  </w:pPr>
                  <w:r w:rsidRPr="00931B4F">
                    <w:rPr>
                      <w:rFonts w:eastAsia="Malgun Gothic"/>
                      <w:sz w:val="18"/>
                    </w:rPr>
                    <w:t>If the target TCI state is known, upon</w:t>
                  </w:r>
                  <w:r w:rsidRPr="00931B4F">
                    <w:rPr>
                      <w:sz w:val="18"/>
                    </w:rPr>
                    <w:t xml:space="preserve"> receiv</w:t>
                  </w:r>
                  <w:r w:rsidRPr="00931B4F">
                    <w:rPr>
                      <w:rFonts w:eastAsia="Malgun Gothic"/>
                      <w:sz w:val="18"/>
                    </w:rPr>
                    <w:t>ing PDSCH carrying</w:t>
                  </w:r>
                  <w:r w:rsidRPr="00931B4F">
                    <w:rPr>
                      <w:sz w:val="18"/>
                    </w:rPr>
                    <w:t xml:space="preserve"> </w:t>
                  </w:r>
                  <w:r w:rsidRPr="00931B4F">
                    <w:rPr>
                      <w:rFonts w:eastAsia="Malgun Gothic"/>
                      <w:sz w:val="18"/>
                    </w:rPr>
                    <w:t>MAC-CE activation command in slot n</w:t>
                  </w:r>
                  <w:r w:rsidRPr="00931B4F">
                    <w:rPr>
                      <w:sz w:val="18"/>
                    </w:rPr>
                    <w:t>, UE shall be able to receive PD</w:t>
                  </w:r>
                  <w:r w:rsidRPr="00931B4F">
                    <w:rPr>
                      <w:rFonts w:eastAsia="Malgun Gothic"/>
                      <w:sz w:val="18"/>
                    </w:rPr>
                    <w:t>C</w:t>
                  </w:r>
                  <w:r w:rsidRPr="00931B4F">
                    <w:rPr>
                      <w:sz w:val="18"/>
                    </w:rPr>
                    <w:t xml:space="preserve">CH with target </w:t>
                  </w:r>
                  <w:r w:rsidRPr="00931B4F">
                    <w:rPr>
                      <w:rFonts w:eastAsia="Malgun Gothic"/>
                      <w:sz w:val="18"/>
                    </w:rPr>
                    <w:t>TCI state</w:t>
                  </w:r>
                  <w:r w:rsidRPr="00931B4F">
                    <w:rPr>
                      <w:sz w:val="18"/>
                    </w:rPr>
                    <w:t xml:space="preserve"> </w:t>
                  </w:r>
                  <w:r w:rsidRPr="00931B4F">
                    <w:rPr>
                      <w:rFonts w:eastAsia="Malgun Gothic"/>
                      <w:sz w:val="18"/>
                    </w:rPr>
                    <w:t>of</w:t>
                  </w:r>
                  <w:r w:rsidRPr="00931B4F">
                    <w:rPr>
                      <w:sz w:val="18"/>
                    </w:rPr>
                    <w:t xml:space="preserve"> the serving cell on which </w:t>
                  </w:r>
                  <w:r w:rsidRPr="00931B4F">
                    <w:rPr>
                      <w:rFonts w:eastAsia="Malgun Gothic"/>
                      <w:sz w:val="18"/>
                    </w:rPr>
                    <w:t>TCI state</w:t>
                  </w:r>
                  <w:r w:rsidRPr="00931B4F">
                    <w:rPr>
                      <w:sz w:val="18"/>
                    </w:rPr>
                    <w:t xml:space="preserve"> switch occurs </w:t>
                  </w:r>
                  <w:r w:rsidRPr="00931B4F">
                    <w:rPr>
                      <w:rFonts w:eastAsia="Malgun Gothic"/>
                      <w:sz w:val="18"/>
                    </w:rPr>
                    <w:t>at the first slot that is after</w:t>
                  </w:r>
                  <w:r w:rsidRPr="00931B4F" w:rsidDel="00024E91">
                    <w:rPr>
                      <w:sz w:val="18"/>
                    </w:rPr>
                    <w:t xml:space="preserve"> </w:t>
                  </w:r>
                  <w:r w:rsidRPr="00931B4F">
                    <w:rPr>
                      <w:sz w:val="18"/>
                    </w:rPr>
                    <w:t>slot n+</w:t>
                  </w:r>
                  <w:r w:rsidRPr="00931B4F">
                    <w:rPr>
                      <w:rFonts w:eastAsia="Malgun Gothic"/>
                      <w:sz w:val="18"/>
                    </w:rPr>
                    <w:t xml:space="preserve"> T</w:t>
                  </w:r>
                  <w:r w:rsidRPr="00931B4F">
                    <w:rPr>
                      <w:rFonts w:eastAsia="Malgun Gothic"/>
                      <w:sz w:val="18"/>
                      <w:vertAlign w:val="subscript"/>
                    </w:rPr>
                    <w:t>HARQ</w:t>
                  </w:r>
                  <w:r w:rsidRPr="00931B4F">
                    <w:rPr>
                      <w:rFonts w:eastAsia="Malgun Gothic"/>
                      <w:sz w:val="18"/>
                    </w:rPr>
                    <w:t xml:space="preserve"> + </w:t>
                  </w:r>
                  <m:oMath>
                    <m:sSubSup>
                      <m:sSubSupPr>
                        <m:ctrlPr>
                          <w:rPr>
                            <w:rFonts w:ascii="Cambria Math" w:hAnsi="Cambria Math"/>
                            <w:sz w:val="18"/>
                          </w:rPr>
                        </m:ctrlPr>
                      </m:sSubSupPr>
                      <m:e>
                        <m:r>
                          <m:rPr>
                            <m:sty m:val="p"/>
                          </m:rPr>
                          <w:rPr>
                            <w:rFonts w:ascii="Cambria Math" w:hAnsi="Cambria Math"/>
                            <w:sz w:val="18"/>
                          </w:rPr>
                          <m:t>3N</m:t>
                        </m:r>
                      </m:e>
                      <m:sub>
                        <m:r>
                          <m:rPr>
                            <m:sty m:val="p"/>
                          </m:rPr>
                          <w:rPr>
                            <w:rFonts w:ascii="Cambria Math" w:hAnsi="Cambria Math"/>
                            <w:sz w:val="18"/>
                          </w:rPr>
                          <m:t>slot</m:t>
                        </m:r>
                      </m:sub>
                      <m:sup>
                        <m:r>
                          <m:rPr>
                            <m:sty m:val="p"/>
                          </m:rPr>
                          <w:rPr>
                            <w:rFonts w:ascii="Cambria Math" w:hAnsi="Cambria Math"/>
                            <w:sz w:val="18"/>
                          </w:rPr>
                          <m:t>subframe,µ</m:t>
                        </m:r>
                      </m:sup>
                    </m:sSubSup>
                  </m:oMath>
                  <w:r w:rsidRPr="00931B4F">
                    <w:rPr>
                      <w:rFonts w:eastAsia="Malgun Gothic"/>
                      <w:sz w:val="18"/>
                    </w:rPr>
                    <w:t>+ TO</w:t>
                  </w:r>
                  <w:r w:rsidRPr="00931B4F">
                    <w:rPr>
                      <w:rFonts w:eastAsia="Malgun Gothic"/>
                      <w:sz w:val="18"/>
                      <w:vertAlign w:val="subscript"/>
                    </w:rPr>
                    <w:t>k</w:t>
                  </w:r>
                  <w:r w:rsidRPr="00931B4F">
                    <w:rPr>
                      <w:rFonts w:eastAsia="Malgun Gothic"/>
                      <w:sz w:val="18"/>
                    </w:rPr>
                    <w:t>*(T</w:t>
                  </w:r>
                  <w:r w:rsidRPr="00931B4F">
                    <w:rPr>
                      <w:rFonts w:eastAsia="Malgun Gothic"/>
                      <w:sz w:val="18"/>
                      <w:vertAlign w:val="subscript"/>
                    </w:rPr>
                    <w:t xml:space="preserve">first-SSB </w:t>
                  </w:r>
                  <w:r w:rsidRPr="00931B4F">
                    <w:rPr>
                      <w:rFonts w:eastAsia="Malgun Gothic"/>
                      <w:sz w:val="18"/>
                    </w:rPr>
                    <w:t>+ T</w:t>
                  </w:r>
                  <w:r w:rsidRPr="00931B4F">
                    <w:rPr>
                      <w:rFonts w:eastAsia="Malgun Gothic"/>
                      <w:sz w:val="18"/>
                      <w:vertAlign w:val="subscript"/>
                    </w:rPr>
                    <w:t>SSB-proc</w:t>
                  </w:r>
                  <w:r w:rsidRPr="00931B4F">
                    <w:rPr>
                      <w:rFonts w:eastAsia="Malgun Gothic"/>
                      <w:sz w:val="18"/>
                    </w:rPr>
                    <w:t>)</w:t>
                  </w:r>
                  <w:r w:rsidRPr="00931B4F">
                    <w:rPr>
                      <w:sz w:val="18"/>
                    </w:rPr>
                    <w:t xml:space="preserve"> / </w:t>
                  </w:r>
                  <w:r w:rsidRPr="00931B4F">
                    <w:rPr>
                      <w:i/>
                      <w:sz w:val="18"/>
                    </w:rPr>
                    <w:t>NR slot length</w:t>
                  </w:r>
                  <w:r w:rsidRPr="00931B4F">
                    <w:rPr>
                      <w:sz w:val="18"/>
                    </w:rPr>
                    <w:t xml:space="preserve">. The UE shall be able to receive PDCCH </w:t>
                  </w:r>
                  <w:r w:rsidRPr="00931B4F">
                    <w:rPr>
                      <w:sz w:val="18"/>
                      <w:highlight w:val="cyan"/>
                    </w:rPr>
                    <w:t>with the old TCI state until slot n+</w:t>
                  </w:r>
                  <w:r w:rsidRPr="00931B4F">
                    <w:rPr>
                      <w:rFonts w:eastAsia="Malgun Gothic"/>
                      <w:sz w:val="18"/>
                      <w:highlight w:val="cyan"/>
                    </w:rPr>
                    <w:t xml:space="preserve"> T</w:t>
                  </w:r>
                  <w:r w:rsidRPr="00931B4F">
                    <w:rPr>
                      <w:rFonts w:eastAsia="Malgun Gothic"/>
                      <w:sz w:val="18"/>
                      <w:highlight w:val="cyan"/>
                      <w:vertAlign w:val="subscript"/>
                    </w:rPr>
                    <w:t>HARQ</w:t>
                  </w:r>
                  <w:r w:rsidRPr="00931B4F">
                    <w:rPr>
                      <w:rFonts w:eastAsia="Malgun Gothic"/>
                      <w:sz w:val="18"/>
                      <w:highlight w:val="cyan"/>
                    </w:rPr>
                    <w:t xml:space="preserve"> +</w:t>
                  </w:r>
                  <m:oMath>
                    <m:sSubSup>
                      <m:sSubSupPr>
                        <m:ctrlPr>
                          <w:rPr>
                            <w:rFonts w:ascii="Cambria Math" w:hAnsi="Cambria Math"/>
                            <w:sz w:val="18"/>
                            <w:highlight w:val="cyan"/>
                          </w:rPr>
                        </m:ctrlPr>
                      </m:sSubSupPr>
                      <m:e>
                        <m:r>
                          <m:rPr>
                            <m:sty m:val="p"/>
                          </m:rPr>
                          <w:rPr>
                            <w:rFonts w:ascii="Cambria Math" w:hAnsi="Cambria Math"/>
                            <w:sz w:val="18"/>
                            <w:highlight w:val="cyan"/>
                          </w:rPr>
                          <m:t>3N</m:t>
                        </m:r>
                      </m:e>
                      <m:sub>
                        <m:r>
                          <m:rPr>
                            <m:sty m:val="p"/>
                          </m:rPr>
                          <w:rPr>
                            <w:rFonts w:ascii="Cambria Math" w:hAnsi="Cambria Math"/>
                            <w:sz w:val="18"/>
                            <w:highlight w:val="cyan"/>
                          </w:rPr>
                          <m:t>slot</m:t>
                        </m:r>
                      </m:sub>
                      <m:sup>
                        <m:r>
                          <m:rPr>
                            <m:sty m:val="p"/>
                          </m:rPr>
                          <w:rPr>
                            <w:rFonts w:ascii="Cambria Math" w:hAnsi="Cambria Math"/>
                            <w:sz w:val="18"/>
                            <w:highlight w:val="cyan"/>
                          </w:rPr>
                          <m:t>subframe,µ</m:t>
                        </m:r>
                      </m:sup>
                    </m:sSubSup>
                  </m:oMath>
                  <w:r w:rsidRPr="00931B4F" w:rsidDel="00024E91">
                    <w:rPr>
                      <w:rFonts w:eastAsia="Malgun Gothic"/>
                      <w:sz w:val="18"/>
                    </w:rPr>
                    <w:t xml:space="preserve"> </w:t>
                  </w:r>
                  <w:r w:rsidRPr="00931B4F">
                    <w:rPr>
                      <w:sz w:val="18"/>
                    </w:rPr>
                    <w:t>.</w:t>
                  </w:r>
                </w:p>
                <w:p w:rsidR="00931B4F" w:rsidRDefault="00931B4F">
                  <w:r>
                    <w:t>……</w:t>
                  </w:r>
                </w:p>
                <w:p w:rsidR="00931B4F" w:rsidRPr="00931B4F" w:rsidRDefault="00931B4F" w:rsidP="00931B4F">
                  <w:pPr>
                    <w:rPr>
                      <w:sz w:val="18"/>
                    </w:rPr>
                  </w:pPr>
                  <w:r w:rsidRPr="00931B4F">
                    <w:rPr>
                      <w:rFonts w:eastAsia="Malgun Gothic"/>
                      <w:sz w:val="18"/>
                    </w:rPr>
                    <w:t>If the target TCI state is unknown, upon</w:t>
                  </w:r>
                  <w:r w:rsidRPr="00931B4F">
                    <w:rPr>
                      <w:sz w:val="18"/>
                    </w:rPr>
                    <w:t xml:space="preserve"> receiv</w:t>
                  </w:r>
                  <w:r w:rsidRPr="00931B4F">
                    <w:rPr>
                      <w:rFonts w:eastAsia="Malgun Gothic"/>
                      <w:sz w:val="18"/>
                    </w:rPr>
                    <w:t>ing PDSCH carrying</w:t>
                  </w:r>
                  <w:r w:rsidRPr="00931B4F">
                    <w:rPr>
                      <w:sz w:val="18"/>
                    </w:rPr>
                    <w:t xml:space="preserve"> </w:t>
                  </w:r>
                  <w:r w:rsidRPr="00931B4F">
                    <w:rPr>
                      <w:rFonts w:eastAsia="Malgun Gothic"/>
                      <w:sz w:val="18"/>
                    </w:rPr>
                    <w:t>MAC-CE activation command in slot n</w:t>
                  </w:r>
                  <w:r w:rsidRPr="00931B4F">
                    <w:rPr>
                      <w:sz w:val="18"/>
                    </w:rPr>
                    <w:t>, UE shall be able to receive PD</w:t>
                  </w:r>
                  <w:r w:rsidRPr="00931B4F">
                    <w:rPr>
                      <w:rFonts w:eastAsia="Malgun Gothic"/>
                      <w:sz w:val="18"/>
                    </w:rPr>
                    <w:t>C</w:t>
                  </w:r>
                  <w:r w:rsidRPr="00931B4F">
                    <w:rPr>
                      <w:sz w:val="18"/>
                    </w:rPr>
                    <w:t xml:space="preserve">CH with target </w:t>
                  </w:r>
                  <w:r w:rsidRPr="00931B4F">
                    <w:rPr>
                      <w:rFonts w:eastAsia="Malgun Gothic"/>
                      <w:sz w:val="18"/>
                    </w:rPr>
                    <w:t>TCI state</w:t>
                  </w:r>
                  <w:r w:rsidRPr="00931B4F">
                    <w:rPr>
                      <w:sz w:val="18"/>
                    </w:rPr>
                    <w:t xml:space="preserve"> </w:t>
                  </w:r>
                  <w:r w:rsidRPr="00931B4F">
                    <w:rPr>
                      <w:rFonts w:eastAsia="Malgun Gothic"/>
                      <w:sz w:val="18"/>
                    </w:rPr>
                    <w:t>of</w:t>
                  </w:r>
                  <w:r w:rsidRPr="00931B4F">
                    <w:rPr>
                      <w:sz w:val="18"/>
                    </w:rPr>
                    <w:t xml:space="preserve"> the serving cell on which </w:t>
                  </w:r>
                  <w:r w:rsidRPr="00931B4F">
                    <w:rPr>
                      <w:rFonts w:eastAsia="Malgun Gothic"/>
                      <w:sz w:val="18"/>
                    </w:rPr>
                    <w:t>TCI state</w:t>
                  </w:r>
                  <w:r w:rsidRPr="00931B4F">
                    <w:rPr>
                      <w:sz w:val="18"/>
                    </w:rPr>
                    <w:t xml:space="preserve"> switch occurs </w:t>
                  </w:r>
                  <w:r w:rsidRPr="00931B4F">
                    <w:rPr>
                      <w:rFonts w:eastAsia="Malgun Gothic"/>
                      <w:sz w:val="18"/>
                    </w:rPr>
                    <w:t>at the first slot that is after</w:t>
                  </w:r>
                  <w:r w:rsidRPr="00931B4F" w:rsidDel="00024E91">
                    <w:rPr>
                      <w:sz w:val="18"/>
                    </w:rPr>
                    <w:t xml:space="preserve"> </w:t>
                  </w:r>
                  <w:r w:rsidRPr="00931B4F">
                    <w:rPr>
                      <w:sz w:val="18"/>
                    </w:rPr>
                    <w:t>slot n+</w:t>
                  </w:r>
                  <w:r w:rsidRPr="00931B4F">
                    <w:rPr>
                      <w:rFonts w:eastAsia="Malgun Gothic"/>
                      <w:sz w:val="18"/>
                    </w:rPr>
                    <w:t xml:space="preserve"> T</w:t>
                  </w:r>
                  <w:r w:rsidRPr="00931B4F">
                    <w:rPr>
                      <w:rFonts w:eastAsia="Malgun Gothic"/>
                      <w:sz w:val="18"/>
                      <w:vertAlign w:val="subscript"/>
                    </w:rPr>
                    <w:t>HARQ</w:t>
                  </w:r>
                  <w:r w:rsidRPr="00931B4F">
                    <w:rPr>
                      <w:rFonts w:eastAsia="Malgun Gothic"/>
                      <w:sz w:val="18"/>
                    </w:rPr>
                    <w:t xml:space="preserve"> +</w:t>
                  </w:r>
                  <m:oMath>
                    <m:sSubSup>
                      <m:sSubSupPr>
                        <m:ctrlPr>
                          <w:rPr>
                            <w:rFonts w:ascii="Cambria Math" w:hAnsi="Cambria Math"/>
                            <w:sz w:val="18"/>
                          </w:rPr>
                        </m:ctrlPr>
                      </m:sSubSupPr>
                      <m:e>
                        <m:r>
                          <m:rPr>
                            <m:sty m:val="p"/>
                          </m:rPr>
                          <w:rPr>
                            <w:rFonts w:ascii="Cambria Math" w:hAnsi="Cambria Math"/>
                            <w:sz w:val="18"/>
                          </w:rPr>
                          <m:t>3N</m:t>
                        </m:r>
                      </m:e>
                      <m:sub>
                        <m:r>
                          <m:rPr>
                            <m:sty m:val="p"/>
                          </m:rPr>
                          <w:rPr>
                            <w:rFonts w:ascii="Cambria Math" w:hAnsi="Cambria Math"/>
                            <w:sz w:val="18"/>
                          </w:rPr>
                          <m:t>slot</m:t>
                        </m:r>
                      </m:sub>
                      <m:sup>
                        <m:r>
                          <m:rPr>
                            <m:sty m:val="p"/>
                          </m:rPr>
                          <w:rPr>
                            <w:rFonts w:ascii="Cambria Math" w:hAnsi="Cambria Math"/>
                            <w:sz w:val="18"/>
                          </w:rPr>
                          <m:t>subframe,µ</m:t>
                        </m:r>
                      </m:sup>
                    </m:sSubSup>
                  </m:oMath>
                  <w:r w:rsidRPr="00931B4F">
                    <w:rPr>
                      <w:rFonts w:eastAsia="Malgun Gothic"/>
                      <w:sz w:val="18"/>
                    </w:rPr>
                    <w:t xml:space="preserve"> + </w:t>
                  </w:r>
                  <w:r w:rsidRPr="00931B4F">
                    <w:rPr>
                      <w:sz w:val="18"/>
                      <w:lang w:eastAsia="en-GB"/>
                    </w:rPr>
                    <w:t>T</w:t>
                  </w:r>
                  <w:r w:rsidRPr="00931B4F">
                    <w:rPr>
                      <w:sz w:val="18"/>
                      <w:vertAlign w:val="subscript"/>
                      <w:lang w:eastAsia="en-GB"/>
                    </w:rPr>
                    <w:t xml:space="preserve">L1-RSRP </w:t>
                  </w:r>
                  <w:r w:rsidRPr="00931B4F">
                    <w:rPr>
                      <w:rFonts w:eastAsia="Malgun Gothic"/>
                      <w:sz w:val="18"/>
                    </w:rPr>
                    <w:t>+TO</w:t>
                  </w:r>
                  <w:r w:rsidRPr="00931B4F">
                    <w:rPr>
                      <w:rFonts w:eastAsia="Malgun Gothic"/>
                      <w:sz w:val="18"/>
                      <w:vertAlign w:val="subscript"/>
                    </w:rPr>
                    <w:t>uk</w:t>
                  </w:r>
                  <w:r w:rsidRPr="00931B4F">
                    <w:rPr>
                      <w:rFonts w:eastAsia="Malgun Gothic"/>
                      <w:sz w:val="18"/>
                    </w:rPr>
                    <w:t>*(T</w:t>
                  </w:r>
                  <w:r w:rsidRPr="00931B4F">
                    <w:rPr>
                      <w:rFonts w:eastAsia="Malgun Gothic"/>
                      <w:sz w:val="18"/>
                      <w:vertAlign w:val="subscript"/>
                    </w:rPr>
                    <w:t>first-SSB</w:t>
                  </w:r>
                  <w:r w:rsidRPr="00931B4F">
                    <w:rPr>
                      <w:rFonts w:eastAsia="Malgun Gothic"/>
                      <w:sz w:val="18"/>
                    </w:rPr>
                    <w:t>+ T</w:t>
                  </w:r>
                  <w:r w:rsidRPr="00931B4F">
                    <w:rPr>
                      <w:rFonts w:eastAsia="Malgun Gothic"/>
                      <w:sz w:val="18"/>
                      <w:vertAlign w:val="subscript"/>
                    </w:rPr>
                    <w:t>SSB-proc</w:t>
                  </w:r>
                  <w:r w:rsidRPr="00931B4F">
                    <w:rPr>
                      <w:rFonts w:eastAsia="Malgun Gothic"/>
                      <w:sz w:val="18"/>
                    </w:rPr>
                    <w:t>)</w:t>
                  </w:r>
                  <w:r w:rsidRPr="00931B4F">
                    <w:rPr>
                      <w:sz w:val="18"/>
                    </w:rPr>
                    <w:t xml:space="preserve"> / </w:t>
                  </w:r>
                  <w:r w:rsidRPr="00931B4F">
                    <w:rPr>
                      <w:i/>
                      <w:sz w:val="18"/>
                    </w:rPr>
                    <w:t>NR slot length</w:t>
                  </w:r>
                  <w:r w:rsidRPr="00931B4F">
                    <w:rPr>
                      <w:sz w:val="18"/>
                    </w:rPr>
                    <w:t xml:space="preserve">. The UE shall be able to receive PDCCH </w:t>
                  </w:r>
                  <w:r w:rsidRPr="00931B4F">
                    <w:rPr>
                      <w:sz w:val="18"/>
                      <w:highlight w:val="cyan"/>
                    </w:rPr>
                    <w:t>with the old TCI state until slot n+</w:t>
                  </w:r>
                  <w:r w:rsidRPr="00931B4F">
                    <w:rPr>
                      <w:rFonts w:eastAsia="Malgun Gothic"/>
                      <w:sz w:val="18"/>
                      <w:highlight w:val="cyan"/>
                    </w:rPr>
                    <w:t xml:space="preserve"> T</w:t>
                  </w:r>
                  <w:r w:rsidRPr="00931B4F">
                    <w:rPr>
                      <w:rFonts w:eastAsia="Malgun Gothic"/>
                      <w:sz w:val="18"/>
                      <w:highlight w:val="cyan"/>
                      <w:vertAlign w:val="subscript"/>
                    </w:rPr>
                    <w:t>HARQ</w:t>
                  </w:r>
                  <w:r w:rsidRPr="00931B4F">
                    <w:rPr>
                      <w:rFonts w:eastAsia="Malgun Gothic"/>
                      <w:sz w:val="18"/>
                      <w:highlight w:val="cyan"/>
                    </w:rPr>
                    <w:t xml:space="preserve"> +</w:t>
                  </w:r>
                  <w:r w:rsidRPr="00931B4F" w:rsidDel="00024E91">
                    <w:rPr>
                      <w:rFonts w:eastAsia="Malgun Gothic"/>
                      <w:sz w:val="18"/>
                      <w:highlight w:val="cyan"/>
                    </w:rPr>
                    <w:t xml:space="preserve"> </w:t>
                  </w:r>
                  <m:oMath>
                    <m:sSubSup>
                      <m:sSubSupPr>
                        <m:ctrlPr>
                          <w:rPr>
                            <w:rFonts w:ascii="Cambria Math" w:hAnsi="Cambria Math"/>
                            <w:sz w:val="18"/>
                            <w:highlight w:val="cyan"/>
                          </w:rPr>
                        </m:ctrlPr>
                      </m:sSubSupPr>
                      <m:e>
                        <m:r>
                          <m:rPr>
                            <m:sty m:val="p"/>
                          </m:rPr>
                          <w:rPr>
                            <w:rFonts w:ascii="Cambria Math" w:hAnsi="Cambria Math"/>
                            <w:sz w:val="18"/>
                            <w:highlight w:val="cyan"/>
                          </w:rPr>
                          <m:t>3N</m:t>
                        </m:r>
                      </m:e>
                      <m:sub>
                        <m:r>
                          <m:rPr>
                            <m:sty m:val="p"/>
                          </m:rPr>
                          <w:rPr>
                            <w:rFonts w:ascii="Cambria Math" w:hAnsi="Cambria Math"/>
                            <w:sz w:val="18"/>
                            <w:highlight w:val="cyan"/>
                          </w:rPr>
                          <m:t>slot</m:t>
                        </m:r>
                      </m:sub>
                      <m:sup>
                        <m:r>
                          <m:rPr>
                            <m:sty m:val="p"/>
                          </m:rPr>
                          <w:rPr>
                            <w:rFonts w:ascii="Cambria Math" w:hAnsi="Cambria Math"/>
                            <w:sz w:val="18"/>
                            <w:highlight w:val="cyan"/>
                          </w:rPr>
                          <m:t>subframe,µ</m:t>
                        </m:r>
                      </m:sup>
                    </m:sSubSup>
                  </m:oMath>
                  <w:r w:rsidRPr="00931B4F" w:rsidDel="00024E91">
                    <w:rPr>
                      <w:rFonts w:eastAsia="Malgun Gothic"/>
                      <w:sz w:val="18"/>
                    </w:rPr>
                    <w:t xml:space="preserve"> </w:t>
                  </w:r>
                  <w:r w:rsidRPr="00931B4F">
                    <w:rPr>
                      <w:sz w:val="18"/>
                    </w:rPr>
                    <w:t>.</w:t>
                  </w:r>
                </w:p>
                <w:p w:rsidR="00931B4F" w:rsidRDefault="00931B4F">
                  <w:r>
                    <w:t>…</w:t>
                  </w:r>
                </w:p>
                <w:p w:rsidR="00931B4F" w:rsidRDefault="00931B4F"/>
              </w:txbxContent>
            </v:textbox>
            <w10:wrap type="square"/>
          </v:shape>
        </w:pict>
      </w:r>
      <w:r w:rsidR="00931B4F" w:rsidRPr="00363B94">
        <w:rPr>
          <w:rFonts w:asciiTheme="minorHAnsi" w:eastAsiaTheme="minorEastAsia" w:hAnsiTheme="minorHAnsi" w:cstheme="minorBidi"/>
          <w:sz w:val="22"/>
          <w:szCs w:val="22"/>
          <w:lang w:val="en-US" w:eastAsia="zh-CN"/>
        </w:rPr>
        <w:t xml:space="preserve">In the last meeting, the MAC-CE based TCI state switch has been updated in R15 </w:t>
      </w:r>
      <w:r w:rsidR="00E825DA" w:rsidRPr="00363B94">
        <w:rPr>
          <w:rFonts w:asciiTheme="minorHAnsi" w:eastAsiaTheme="minorEastAsia" w:hAnsiTheme="minorHAnsi" w:cstheme="minorBidi"/>
          <w:sz w:val="22"/>
          <w:szCs w:val="22"/>
          <w:lang w:val="en-US" w:eastAsia="zh-CN"/>
        </w:rPr>
        <w:t xml:space="preserve">(8.1.10.3 in 38.133) </w:t>
      </w:r>
      <w:r w:rsidR="00931B4F" w:rsidRPr="00363B94">
        <w:rPr>
          <w:rFonts w:asciiTheme="minorHAnsi" w:eastAsiaTheme="minorEastAsia" w:hAnsiTheme="minorHAnsi" w:cstheme="minorBidi"/>
          <w:sz w:val="22"/>
          <w:szCs w:val="22"/>
          <w:lang w:val="en-US" w:eastAsia="zh-CN"/>
        </w:rPr>
        <w:t>as the following:</w:t>
      </w:r>
    </w:p>
    <w:p w:rsidR="00363B94" w:rsidRDefault="00363B94" w:rsidP="00426586">
      <w:pPr>
        <w:jc w:val="both"/>
        <w:rPr>
          <w:noProof/>
        </w:rPr>
      </w:pPr>
    </w:p>
    <w:p w:rsidR="00426586" w:rsidRDefault="00931B4F" w:rsidP="00426586">
      <w:pPr>
        <w:jc w:val="both"/>
      </w:pPr>
      <w:r w:rsidRPr="00426586">
        <w:rPr>
          <w:noProof/>
        </w:rPr>
        <w:t>I</w:t>
      </w:r>
      <w:r w:rsidR="003C1C67" w:rsidRPr="00426586">
        <w:rPr>
          <w:noProof/>
        </w:rPr>
        <w:t xml:space="preserve">t can be observed a </w:t>
      </w:r>
      <w:r w:rsidR="00AF009B" w:rsidRPr="00426586">
        <w:rPr>
          <w:noProof/>
        </w:rPr>
        <w:t xml:space="preserve">mismatch between 8.10.3 and 8.10A.3, </w:t>
      </w:r>
      <w:r w:rsidR="00642567" w:rsidRPr="00426586">
        <w:t>since the UE behavior in 8.10.3 was update in the last meeting</w:t>
      </w:r>
      <w:r w:rsidR="00580F20" w:rsidRPr="00426586">
        <w:t xml:space="preserve"> regarding the time the UE shall be able to receive PDCCH with the old TCI state</w:t>
      </w:r>
      <w:r w:rsidR="00642567" w:rsidRPr="00426586">
        <w:t xml:space="preserve">. </w:t>
      </w:r>
      <w:r w:rsidR="00E825DA">
        <w:t>Thus</w:t>
      </w:r>
      <w:r w:rsidR="003E0A22" w:rsidRPr="00426586">
        <w:t>, i</w:t>
      </w:r>
      <w:r w:rsidR="00642567" w:rsidRPr="00426586">
        <w:t>t proposes to update UE behavior in 8.</w:t>
      </w:r>
      <w:r w:rsidR="00E825DA">
        <w:t>10A.3 accordingly, to align</w:t>
      </w:r>
      <w:r w:rsidR="00642567" w:rsidRPr="00426586">
        <w:t xml:space="preserve"> with the UE behavior</w:t>
      </w:r>
      <w:r w:rsidR="00580F20" w:rsidRPr="00426586">
        <w:t xml:space="preserve"> </w:t>
      </w:r>
      <w:r w:rsidR="00E825DA" w:rsidRPr="00426586">
        <w:t>in 8.10.3.</w:t>
      </w:r>
      <w:r w:rsidR="00E825DA">
        <w:t>,</w:t>
      </w:r>
      <w:r w:rsidR="00E825DA" w:rsidRPr="00426586">
        <w:t xml:space="preserve"> </w:t>
      </w:r>
      <w:r w:rsidR="00E825DA">
        <w:t>regarding receiving</w:t>
      </w:r>
      <w:r w:rsidR="00580F20" w:rsidRPr="00426586">
        <w:t xml:space="preserve"> PDCCH with the old TCI</w:t>
      </w:r>
      <w:r w:rsidR="00E825DA">
        <w:t>.</w:t>
      </w:r>
      <w:r w:rsidR="00642567" w:rsidRPr="00426586">
        <w:t xml:space="preserve"> </w:t>
      </w:r>
    </w:p>
    <w:p w:rsidR="00426586" w:rsidRDefault="00426586" w:rsidP="00426586">
      <w:pPr>
        <w:jc w:val="both"/>
        <w:rPr>
          <w:b/>
        </w:rPr>
      </w:pPr>
      <w:bookmarkStart w:id="4" w:name="_Ref47266259"/>
      <w:r w:rsidRPr="00E019A0">
        <w:rPr>
          <w:rFonts w:ascii="Calibri" w:eastAsia="SimSun" w:hAnsi="Calibri" w:cs="Arial"/>
          <w:b/>
          <w:bCs/>
        </w:rPr>
        <w:lastRenderedPageBreak/>
        <w:t xml:space="preserve">Proposal </w:t>
      </w:r>
      <w:r w:rsidRPr="00E019A0">
        <w:rPr>
          <w:rFonts w:ascii="Calibri" w:eastAsia="SimSun" w:hAnsi="Calibri" w:cs="Arial"/>
          <w:b/>
          <w:bCs/>
        </w:rPr>
        <w:fldChar w:fldCharType="begin"/>
      </w:r>
      <w:r w:rsidRPr="00E019A0">
        <w:rPr>
          <w:rFonts w:ascii="Calibri" w:eastAsia="SimSun" w:hAnsi="Calibri" w:cs="Arial"/>
          <w:b/>
          <w:bCs/>
        </w:rPr>
        <w:instrText xml:space="preserve"> SEQ Proposal \* ARABIC </w:instrText>
      </w:r>
      <w:r w:rsidRPr="00E019A0">
        <w:rPr>
          <w:rFonts w:ascii="Calibri" w:eastAsia="SimSun" w:hAnsi="Calibri" w:cs="Arial"/>
          <w:b/>
          <w:bCs/>
        </w:rPr>
        <w:fldChar w:fldCharType="separate"/>
      </w:r>
      <w:r w:rsidR="00825EAF">
        <w:rPr>
          <w:rFonts w:ascii="Calibri" w:eastAsia="SimSun" w:hAnsi="Calibri" w:cs="Arial"/>
          <w:b/>
          <w:bCs/>
          <w:noProof/>
        </w:rPr>
        <w:t>2</w:t>
      </w:r>
      <w:r w:rsidRPr="00E019A0">
        <w:rPr>
          <w:rFonts w:ascii="Calibri" w:eastAsia="SimSun" w:hAnsi="Calibri" w:cs="Arial"/>
          <w:b/>
          <w:bCs/>
        </w:rPr>
        <w:fldChar w:fldCharType="end"/>
      </w:r>
      <w:r w:rsidRPr="00E019A0">
        <w:rPr>
          <w:rFonts w:ascii="Calibri" w:eastAsia="SimSun" w:hAnsi="Calibri" w:cs="Arial"/>
          <w:b/>
          <w:bCs/>
        </w:rPr>
        <w:t xml:space="preserve">: </w:t>
      </w:r>
      <w:r w:rsidRPr="00642567">
        <w:rPr>
          <w:b/>
        </w:rPr>
        <w:t>The UE shall be able to receive on the old TCI state until slot n</w:t>
      </w:r>
      <w:r w:rsidRPr="00642567">
        <w:rPr>
          <w:rFonts w:eastAsia="Malgun Gothic"/>
          <w:b/>
        </w:rPr>
        <w:t>+</w:t>
      </w:r>
      <m:oMath>
        <m:r>
          <m:rPr>
            <m:sty m:val="b"/>
          </m:rPr>
          <w:rPr>
            <w:rFonts w:ascii="Cambria Math" w:hAnsi="Cambria Math" w:cs="SimSun"/>
            <w:sz w:val="24"/>
            <w:szCs w:val="24"/>
          </w:rPr>
          <m:t xml:space="preserve"> </m:t>
        </m:r>
        <m:sSubSup>
          <m:sSubSupPr>
            <m:ctrlPr>
              <w:rPr>
                <w:rFonts w:ascii="Cambria Math" w:hAnsi="Cambria Math" w:cs="SimSun"/>
                <w:b/>
                <w:sz w:val="24"/>
                <w:szCs w:val="24"/>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642567">
        <w:rPr>
          <w:rFonts w:eastAsia="Malgun Gothic"/>
          <w:b/>
        </w:rPr>
        <w:t xml:space="preserve"> + (T</w:t>
      </w:r>
      <w:r w:rsidRPr="00642567">
        <w:rPr>
          <w:rFonts w:eastAsia="Malgun Gothic"/>
          <w:b/>
          <w:vertAlign w:val="subscript"/>
        </w:rPr>
        <w:t>HARQ</w:t>
      </w:r>
      <w:r w:rsidRPr="00642567">
        <w:rPr>
          <w:rFonts w:eastAsia="Malgun Gothic"/>
          <w:b/>
        </w:rPr>
        <w:t xml:space="preserve"> </w:t>
      </w:r>
      <w:r w:rsidRPr="00642567">
        <w:rPr>
          <w:b/>
        </w:rPr>
        <w:t xml:space="preserve">) / </w:t>
      </w:r>
      <w:r w:rsidRPr="00642567">
        <w:rPr>
          <w:b/>
          <w:i/>
        </w:rPr>
        <w:t>NR slot length</w:t>
      </w:r>
      <w:r>
        <w:rPr>
          <w:b/>
        </w:rPr>
        <w:t xml:space="preserve">, for </w:t>
      </w:r>
      <w:r w:rsidRPr="00642567">
        <w:rPr>
          <w:b/>
        </w:rPr>
        <w:t xml:space="preserve">MAC-CE based TCI state switch </w:t>
      </w:r>
      <w:r>
        <w:rPr>
          <w:b/>
        </w:rPr>
        <w:t>in NR-U.</w:t>
      </w:r>
      <w:bookmarkEnd w:id="4"/>
    </w:p>
    <w:p w:rsidR="00426586" w:rsidRPr="00426586" w:rsidRDefault="00BE0E49" w:rsidP="00426586">
      <w:pPr>
        <w:jc w:val="both"/>
      </w:pPr>
      <w:r>
        <w:t>A</w:t>
      </w:r>
      <w:r w:rsidR="00426586" w:rsidRPr="00426586">
        <w:t>ccording to the updated UE behavior in R15, it can be observed that UE is not required to stay in the old TCI after slot n</w:t>
      </w:r>
      <w:r w:rsidR="00426586" w:rsidRPr="00426586">
        <w:rPr>
          <w:rFonts w:eastAsia="Malgun Gothic"/>
        </w:rPr>
        <w:t>+</w:t>
      </w:r>
      <m:oMath>
        <m:r>
          <m:rPr>
            <m:sty m:val="p"/>
          </m:rPr>
          <w:rPr>
            <w:rFonts w:ascii="Cambria Math" w:hAnsi="Cambria Math" w:cs="SimSun"/>
          </w:rPr>
          <m:t xml:space="preserve"> </m:t>
        </m:r>
        <m:sSubSup>
          <m:sSubSupPr>
            <m:ctrlPr>
              <w:rPr>
                <w:rFonts w:ascii="Cambria Math" w:hAnsi="Cambria Math" w:cs="SimSun"/>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426586" w:rsidRPr="00426586">
        <w:rPr>
          <w:rFonts w:eastAsia="Malgun Gothic"/>
        </w:rPr>
        <w:t xml:space="preserve"> + (T</w:t>
      </w:r>
      <w:r w:rsidR="00426586" w:rsidRPr="00426586">
        <w:rPr>
          <w:rFonts w:eastAsia="Malgun Gothic"/>
          <w:vertAlign w:val="subscript"/>
        </w:rPr>
        <w:t>HARQ</w:t>
      </w:r>
      <w:r w:rsidR="00426586" w:rsidRPr="00426586">
        <w:rPr>
          <w:rFonts w:eastAsia="Malgun Gothic"/>
        </w:rPr>
        <w:t xml:space="preserve"> </w:t>
      </w:r>
      <w:r w:rsidR="00426586" w:rsidRPr="00426586">
        <w:t xml:space="preserve">) / </w:t>
      </w:r>
      <w:r w:rsidR="00426586" w:rsidRPr="00426586">
        <w:rPr>
          <w:i/>
        </w:rPr>
        <w:t>NR slot length</w:t>
      </w:r>
      <w:r w:rsidR="00426586">
        <w:rPr>
          <w:i/>
        </w:rPr>
        <w:t>.</w:t>
      </w:r>
      <w:r w:rsidR="00426586">
        <w:t xml:space="preserve"> </w:t>
      </w:r>
    </w:p>
    <w:p w:rsidR="00580F20" w:rsidRDefault="00426586" w:rsidP="009C4D8A">
      <w:pPr>
        <w:pStyle w:val="CRCoverPage"/>
        <w:tabs>
          <w:tab w:val="left" w:pos="383"/>
        </w:tabs>
        <w:spacing w:after="0"/>
        <w:jc w:val="both"/>
        <w:rPr>
          <w:rFonts w:asciiTheme="minorHAnsi" w:hAnsiTheme="minorHAnsi"/>
          <w:b/>
          <w:sz w:val="22"/>
          <w:szCs w:val="22"/>
        </w:rPr>
      </w:pPr>
      <w:bookmarkStart w:id="5" w:name="_Ref47622391"/>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825EAF">
        <w:rPr>
          <w:rFonts w:ascii="Calibri" w:eastAsia="SimSun" w:hAnsi="Calibri" w:cs="Arial"/>
          <w:b/>
          <w:bCs/>
          <w:noProof/>
        </w:rPr>
        <w:t>1</w:t>
      </w:r>
      <w:r w:rsidRPr="007D339C">
        <w:rPr>
          <w:rFonts w:ascii="Calibri" w:eastAsia="SimSun" w:hAnsi="Calibri" w:cs="Arial"/>
          <w:b/>
          <w:bCs/>
        </w:rPr>
        <w:fldChar w:fldCharType="end"/>
      </w:r>
      <w:r w:rsidRPr="007D339C">
        <w:rPr>
          <w:rFonts w:ascii="Calibri" w:eastAsia="SimSun" w:hAnsi="Calibri" w:cs="Arial"/>
          <w:b/>
          <w:bCs/>
        </w:rPr>
        <w:t xml:space="preserve">: </w:t>
      </w:r>
      <w:r w:rsidRPr="00426586">
        <w:rPr>
          <w:rFonts w:asciiTheme="minorHAnsi" w:hAnsiTheme="minorHAnsi"/>
          <w:b/>
          <w:sz w:val="22"/>
          <w:szCs w:val="22"/>
        </w:rPr>
        <w:t>UE is not required to stay in the old TCI after slot n</w:t>
      </w:r>
      <w:r w:rsidRPr="00426586">
        <w:rPr>
          <w:rFonts w:asciiTheme="minorHAnsi" w:eastAsia="Malgun Gothic" w:hAnsiTheme="minorHAnsi"/>
          <w:b/>
          <w:sz w:val="22"/>
          <w:szCs w:val="22"/>
        </w:rPr>
        <w:t>+</w:t>
      </w:r>
      <m:oMath>
        <m:r>
          <m:rPr>
            <m:sty m:val="b"/>
          </m:rPr>
          <w:rPr>
            <w:rFonts w:ascii="Cambria Math" w:hAnsi="Cambria Math" w:cs="SimSun"/>
            <w:sz w:val="22"/>
            <w:szCs w:val="22"/>
          </w:rPr>
          <m:t xml:space="preserve"> </m:t>
        </m:r>
        <m:sSubSup>
          <m:sSubSupPr>
            <m:ctrlPr>
              <w:rPr>
                <w:rFonts w:ascii="Cambria Math" w:hAnsi="Cambria Math" w:cs="SimSun"/>
                <w:b/>
                <w:sz w:val="22"/>
                <w:szCs w:val="22"/>
              </w:rPr>
            </m:ctrlPr>
          </m:sSubSupPr>
          <m:e>
            <m:r>
              <m:rPr>
                <m:sty m:val="b"/>
              </m:rPr>
              <w:rPr>
                <w:rFonts w:ascii="Cambria Math" w:hAnsi="Cambria Math"/>
                <w:sz w:val="22"/>
                <w:szCs w:val="22"/>
              </w:rPr>
              <m:t>3N</m:t>
            </m:r>
          </m:e>
          <m:sub>
            <m:r>
              <m:rPr>
                <m:sty m:val="b"/>
              </m:rPr>
              <w:rPr>
                <w:rFonts w:ascii="Cambria Math" w:hAnsi="Cambria Math"/>
                <w:sz w:val="22"/>
                <w:szCs w:val="22"/>
              </w:rPr>
              <m:t>slot</m:t>
            </m:r>
          </m:sub>
          <m:sup>
            <m:r>
              <m:rPr>
                <m:sty m:val="b"/>
              </m:rPr>
              <w:rPr>
                <w:rFonts w:ascii="Cambria Math" w:hAnsi="Cambria Math"/>
                <w:sz w:val="22"/>
                <w:szCs w:val="22"/>
              </w:rPr>
              <m:t>subframe,µ</m:t>
            </m:r>
          </m:sup>
        </m:sSubSup>
      </m:oMath>
      <w:r w:rsidRPr="00426586">
        <w:rPr>
          <w:rFonts w:asciiTheme="minorHAnsi" w:eastAsia="Malgun Gothic" w:hAnsiTheme="minorHAnsi"/>
          <w:b/>
          <w:sz w:val="22"/>
          <w:szCs w:val="22"/>
        </w:rPr>
        <w:t xml:space="preserve"> + (T</w:t>
      </w:r>
      <w:r w:rsidRPr="00426586">
        <w:rPr>
          <w:rFonts w:asciiTheme="minorHAnsi" w:eastAsia="Malgun Gothic" w:hAnsiTheme="minorHAnsi"/>
          <w:b/>
          <w:sz w:val="22"/>
          <w:szCs w:val="22"/>
          <w:vertAlign w:val="subscript"/>
        </w:rPr>
        <w:t>HARQ</w:t>
      </w:r>
      <w:r w:rsidRPr="00426586">
        <w:rPr>
          <w:rFonts w:asciiTheme="minorHAnsi" w:eastAsia="Malgun Gothic" w:hAnsiTheme="minorHAnsi"/>
          <w:b/>
          <w:sz w:val="22"/>
          <w:szCs w:val="22"/>
        </w:rPr>
        <w:t xml:space="preserve"> </w:t>
      </w:r>
      <w:r w:rsidRPr="00426586">
        <w:rPr>
          <w:rFonts w:asciiTheme="minorHAnsi" w:hAnsiTheme="minorHAnsi"/>
          <w:b/>
          <w:sz w:val="22"/>
          <w:szCs w:val="22"/>
        </w:rPr>
        <w:t xml:space="preserve">) / </w:t>
      </w:r>
      <w:r w:rsidRPr="00426586">
        <w:rPr>
          <w:rFonts w:asciiTheme="minorHAnsi" w:hAnsiTheme="minorHAnsi"/>
          <w:b/>
          <w:i/>
          <w:sz w:val="22"/>
          <w:szCs w:val="22"/>
        </w:rPr>
        <w:t>NR slot length</w:t>
      </w:r>
      <w:r w:rsidR="00090708">
        <w:rPr>
          <w:rFonts w:asciiTheme="minorHAnsi" w:hAnsiTheme="minorHAnsi"/>
          <w:b/>
          <w:sz w:val="22"/>
          <w:szCs w:val="22"/>
        </w:rPr>
        <w:t xml:space="preserve"> in R15.</w:t>
      </w:r>
      <w:bookmarkEnd w:id="5"/>
      <w:r>
        <w:rPr>
          <w:rFonts w:asciiTheme="minorHAnsi" w:hAnsiTheme="minorHAnsi"/>
          <w:b/>
          <w:sz w:val="22"/>
          <w:szCs w:val="22"/>
        </w:rPr>
        <w:t xml:space="preserve"> </w:t>
      </w:r>
    </w:p>
    <w:p w:rsidR="00426586" w:rsidRDefault="00426586" w:rsidP="009C4D8A">
      <w:pPr>
        <w:pStyle w:val="CRCoverPage"/>
        <w:tabs>
          <w:tab w:val="left" w:pos="383"/>
        </w:tabs>
        <w:spacing w:after="0"/>
        <w:jc w:val="both"/>
        <w:rPr>
          <w:rFonts w:asciiTheme="minorHAnsi" w:hAnsiTheme="minorHAnsi"/>
          <w:b/>
          <w:sz w:val="22"/>
          <w:szCs w:val="22"/>
        </w:rPr>
      </w:pPr>
    </w:p>
    <w:p w:rsidR="00426586" w:rsidRPr="00080DFB" w:rsidRDefault="00656AEA" w:rsidP="009C4D8A">
      <w:pPr>
        <w:pStyle w:val="CRCoverPage"/>
        <w:tabs>
          <w:tab w:val="left" w:pos="383"/>
        </w:tabs>
        <w:spacing w:after="0"/>
        <w:jc w:val="both"/>
        <w:rPr>
          <w:rFonts w:asciiTheme="minorHAnsi" w:hAnsiTheme="minorHAnsi"/>
          <w:sz w:val="22"/>
          <w:szCs w:val="22"/>
        </w:rPr>
      </w:pPr>
      <w:r>
        <w:rPr>
          <w:rFonts w:asciiTheme="minorHAnsi" w:hAnsiTheme="minorHAnsi"/>
          <w:sz w:val="22"/>
          <w:szCs w:val="22"/>
        </w:rPr>
        <w:t>On the other hand</w:t>
      </w:r>
      <w:r w:rsidR="00B67B69" w:rsidRPr="00080DFB">
        <w:rPr>
          <w:rFonts w:asciiTheme="minorHAnsi" w:hAnsiTheme="minorHAnsi"/>
          <w:sz w:val="22"/>
          <w:szCs w:val="22"/>
        </w:rPr>
        <w:t xml:space="preserve">, </w:t>
      </w:r>
      <w:r w:rsidR="005A6A71">
        <w:rPr>
          <w:rFonts w:asciiTheme="minorHAnsi" w:hAnsiTheme="minorHAnsi"/>
          <w:sz w:val="22"/>
          <w:szCs w:val="22"/>
        </w:rPr>
        <w:t>according to</w:t>
      </w:r>
      <w:r w:rsidR="00F820A9" w:rsidRPr="00080DFB">
        <w:rPr>
          <w:rFonts w:asciiTheme="minorHAnsi" w:hAnsiTheme="minorHAnsi"/>
          <w:sz w:val="22"/>
          <w:szCs w:val="22"/>
        </w:rPr>
        <w:t xml:space="preserve"> RAN1 spec, </w:t>
      </w:r>
      <w:r w:rsidR="00F820A9" w:rsidRPr="00080DFB">
        <w:rPr>
          <w:rFonts w:asciiTheme="minorHAnsi" w:hAnsiTheme="minorHAnsi"/>
          <w:sz w:val="22"/>
          <w:szCs w:val="22"/>
          <w:lang w:val="en-US"/>
        </w:rPr>
        <w:t xml:space="preserve">the UE applies the </w:t>
      </w:r>
      <w:r w:rsidR="00080DFB">
        <w:rPr>
          <w:rFonts w:asciiTheme="minorHAnsi" w:hAnsiTheme="minorHAnsi"/>
          <w:sz w:val="22"/>
          <w:szCs w:val="22"/>
          <w:lang w:val="en-US"/>
        </w:rPr>
        <w:t xml:space="preserve">TCI </w:t>
      </w:r>
      <w:r w:rsidR="00F820A9" w:rsidRPr="00080DFB">
        <w:rPr>
          <w:rFonts w:asciiTheme="minorHAnsi" w:hAnsiTheme="minorHAnsi"/>
          <w:sz w:val="22"/>
          <w:szCs w:val="22"/>
          <w:lang w:val="en-US"/>
        </w:rPr>
        <w:t>activation command in</w:t>
      </w:r>
      <w:r w:rsidR="00F820A9" w:rsidRPr="00080DFB">
        <w:rPr>
          <w:rFonts w:asciiTheme="minorHAnsi" w:hAnsiTheme="minorHAnsi"/>
          <w:sz w:val="22"/>
          <w:szCs w:val="22"/>
        </w:rPr>
        <w:t xml:space="preserve"> the first slot that is after slot </w:t>
      </w:r>
      <w:r w:rsidR="00F820A9" w:rsidRPr="00080DFB">
        <w:rPr>
          <w:rFonts w:asciiTheme="minorHAnsi" w:hAnsiTheme="minorHAnsi"/>
          <w:noProof/>
          <w:position w:val="-10"/>
          <w:sz w:val="22"/>
          <w:szCs w:val="22"/>
          <w:lang w:val="en-US" w:eastAsia="zh-TW"/>
        </w:rPr>
        <w:drawing>
          <wp:inline distT="0" distB="0" distL="0" distR="0">
            <wp:extent cx="826770" cy="2171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sidR="008A28A1" w:rsidRPr="00080DFB">
        <w:rPr>
          <w:rFonts w:asciiTheme="minorHAnsi" w:hAnsiTheme="minorHAnsi"/>
          <w:sz w:val="22"/>
          <w:szCs w:val="22"/>
        </w:rPr>
        <w:t>, the corresponding description</w:t>
      </w:r>
      <w:r w:rsidR="006B20E9" w:rsidRPr="00080DFB">
        <w:rPr>
          <w:rFonts w:asciiTheme="minorHAnsi" w:hAnsiTheme="minorHAnsi"/>
          <w:sz w:val="22"/>
          <w:szCs w:val="22"/>
        </w:rPr>
        <w:t xml:space="preserve"> in section 10.4 of 38.213</w:t>
      </w:r>
      <w:r w:rsidR="008A28A1" w:rsidRPr="00080DFB">
        <w:rPr>
          <w:rFonts w:asciiTheme="minorHAnsi" w:hAnsiTheme="minorHAnsi"/>
          <w:sz w:val="22"/>
          <w:szCs w:val="22"/>
        </w:rPr>
        <w:t xml:space="preserve"> </w:t>
      </w:r>
      <w:r w:rsidR="005C25F9" w:rsidRPr="00080DFB">
        <w:rPr>
          <w:rFonts w:asciiTheme="minorHAnsi" w:hAnsiTheme="minorHAnsi"/>
          <w:sz w:val="22"/>
          <w:szCs w:val="22"/>
        </w:rPr>
        <w:t>is attached for reference</w:t>
      </w:r>
      <w:r w:rsidR="008A28A1" w:rsidRPr="00080DFB">
        <w:rPr>
          <w:rFonts w:asciiTheme="minorHAnsi" w:hAnsiTheme="minorHAnsi"/>
          <w:sz w:val="22"/>
          <w:szCs w:val="22"/>
        </w:rPr>
        <w:t xml:space="preserve"> [2]</w:t>
      </w:r>
      <w:r w:rsidR="005C25F9" w:rsidRPr="00080DFB">
        <w:rPr>
          <w:rFonts w:asciiTheme="minorHAnsi" w:hAnsiTheme="minorHAnsi"/>
          <w:sz w:val="22"/>
          <w:szCs w:val="22"/>
        </w:rPr>
        <w:t xml:space="preserve">: </w:t>
      </w:r>
    </w:p>
    <w:p w:rsidR="005C25F9" w:rsidRDefault="00DE1800" w:rsidP="009C4D8A">
      <w:pPr>
        <w:pStyle w:val="CRCoverPage"/>
        <w:tabs>
          <w:tab w:val="left" w:pos="383"/>
        </w:tabs>
        <w:spacing w:after="0"/>
        <w:jc w:val="both"/>
        <w:rPr>
          <w:rFonts w:asciiTheme="minorHAnsi" w:hAnsiTheme="minorHAnsi"/>
        </w:rPr>
      </w:pPr>
      <w:r>
        <w:rPr>
          <w:noProof/>
        </w:rPr>
        <w:pict>
          <v:shape id="_x0000_s1027" type="#_x0000_t202" style="position:absolute;left:0;text-align:left;margin-left:0;margin-top:26.85pt;width:454.15pt;height:44.95pt;z-index:251661312;visibility:visible;mso-height-percent:200;mso-wrap-distance-left:9pt;mso-wrap-distance-top:3.6pt;mso-wrap-distance-right:9pt;mso-wrap-distance-bottom:3.6pt;mso-position-horizontal:center;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gMKAIAAE4EAAAOAAAAZHJzL2Uyb0RvYy54bWysVNtu2zAMfR+wfxD0vthxk7Qx4hRdugwD&#10;ugvQ7gNkWY6FSaImKbG7ry8lp2nQbS/D/CCIInV0eEh6dT1oRQ7CeQmmotNJTokwHBppdhX9/rB9&#10;d0WJD8w0TIERFX0Unl6v375Z9bYUBXSgGuEIghhf9raiXQi2zDLPO6GZn4AVBp0tOM0Cmm6XNY71&#10;iK5VVuT5IuvBNdYBF97j6e3opOuE37aCh69t60UgqqLILaTVpbWOa7ZesXLnmO0kP9Jg/8BCM2nw&#10;0RPULQuM7J38DUpL7sBDGyYcdAZtK7lIOWA20/xVNvcdsyLlguJ4e5LJ/z9Y/uXwzRHZVLSYXlJi&#10;mMYiPYghkPcwkCLq01tfYti9xcAw4DHWOeXq7R3wH54Y2HTM7MSNc9B3gjXIbxpvZmdXRxwfQer+&#10;MzT4DNsHSEBD63QUD+UgiI51ejzVJlLheFhcLPLlBbo4+qazfLYoUvUyVj5ft86HjwI0iZuKOix+&#10;gmeHOx8iHVY+h8TXPCjZbKVSyXC7eqMcOTBslG36UgavwpQhfUWX82I+KvBXiDx9f4LQMmDHK6kr&#10;enUKYmXU7YNpUj8GJtW4R8rKHIWM2o0qhqEeUs2SylHkGppHVNbB2OA4kLjpwP2ipMfmrqj/uWdO&#10;UKI+GazOcjqbxWlIxmx+iVISd+6pzz3McISqaKBk3G5CmqCkm73BKm5l0veFyZEyNm2S/ThgcSrO&#10;7RT18htYPwE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ECDgMKAIAAE4EAAAOAAAAAAAAAAAAAAAAAC4CAABkcnMvZTJvRG9j&#10;LnhtbFBLAQItABQABgAIAAAAIQBIWydy2wAAAAcBAAAPAAAAAAAAAAAAAAAAAIIEAABkcnMvZG93&#10;bnJldi54bWxQSwUGAAAAAAQABADzAAAAigUAAAAA&#10;">
            <v:textbox style="mso-next-textbox:#_x0000_s1027;mso-fit-shape-to-text:t">
              <w:txbxContent>
                <w:p w:rsidR="00AB1CE5" w:rsidRPr="00AB1CE5" w:rsidRDefault="00AB1CE5" w:rsidP="00AB1CE5">
                  <w:pPr>
                    <w:tabs>
                      <w:tab w:val="left" w:pos="720"/>
                    </w:tabs>
                    <w:rPr>
                      <w:sz w:val="20"/>
                      <w:szCs w:val="20"/>
                    </w:rPr>
                  </w:pPr>
                  <w:r w:rsidRPr="00AB1CE5">
                    <w:rPr>
                      <w:sz w:val="20"/>
                      <w:szCs w:val="20"/>
                    </w:rPr>
                    <w:t>For a CORESET other than a CORESET with index 0</w:t>
                  </w:r>
                  <w:r w:rsidRPr="00AB1CE5">
                    <w:rPr>
                      <w:rFonts w:hint="eastAsia"/>
                      <w:sz w:val="20"/>
                      <w:szCs w:val="20"/>
                      <w:lang w:eastAsia="zh-TW"/>
                    </w:rPr>
                    <w:t>,</w:t>
                  </w:r>
                  <w:r w:rsidRPr="00AB1CE5">
                    <w:rPr>
                      <w:sz w:val="20"/>
                      <w:szCs w:val="20"/>
                      <w:lang w:eastAsia="zh-TW"/>
                    </w:rPr>
                    <w:t xml:space="preserve"> </w:t>
                  </w:r>
                  <w:r w:rsidRPr="00AB1CE5">
                    <w:rPr>
                      <w:rFonts w:eastAsia="Malgun Gothic"/>
                      <w:sz w:val="20"/>
                      <w:szCs w:val="20"/>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AB1CE5">
                    <w:rPr>
                      <w:kern w:val="2"/>
                      <w:sz w:val="20"/>
                      <w:szCs w:val="20"/>
                    </w:rPr>
                    <w:t xml:space="preserve">the one or more DL RS configured by the TCI state. </w:t>
                  </w:r>
                  <w:r w:rsidRPr="00AB1CE5">
                    <w:rPr>
                      <w:sz w:val="20"/>
                      <w:szCs w:val="20"/>
                    </w:rPr>
                    <w:t>For a CORESET with index 0, the UE expects that QCL-TypeD of a CSI-RS in a TCI state indicated by a MAC CE activation command for the CORESET is provided by a SS/PBCH block</w:t>
                  </w:r>
                </w:p>
                <w:p w:rsidR="00AB1CE5" w:rsidRPr="00AB1CE5" w:rsidRDefault="00AB1CE5" w:rsidP="00AB1CE5">
                  <w:pPr>
                    <w:pStyle w:val="B1"/>
                  </w:pPr>
                  <w:r w:rsidRPr="00AB1CE5">
                    <w:t>-</w:t>
                  </w:r>
                  <w:r w:rsidRPr="00AB1CE5">
                    <w:tab/>
                  </w:r>
                  <w:r w:rsidRPr="00AB1CE5">
                    <w:rPr>
                      <w:lang w:val="en-US"/>
                    </w:rPr>
                    <w:t xml:space="preserve">if the UE receives a MAC CE activation command for one of the TCI states, </w:t>
                  </w:r>
                  <w:r w:rsidRPr="00AB1CE5">
                    <w:rPr>
                      <w:highlight w:val="cyan"/>
                      <w:lang w:val="en-US"/>
                    </w:rPr>
                    <w:t>the UE applies the activation command in</w:t>
                  </w:r>
                  <w:r w:rsidRPr="00AB1CE5">
                    <w:rPr>
                      <w:highlight w:val="cyan"/>
                    </w:rPr>
                    <w:t xml:space="preserve"> the first slot that is after slot </w:t>
                  </w:r>
                  <w:r w:rsidRPr="00AB1CE5">
                    <w:rPr>
                      <w:noProof/>
                      <w:position w:val="-10"/>
                      <w:highlight w:val="cyan"/>
                      <w:lang w:val="en-US" w:eastAsia="zh-TW"/>
                    </w:rPr>
                    <w:drawing>
                      <wp:inline distT="0" distB="0" distL="0" distR="0" wp14:anchorId="30355045" wp14:editId="08553479">
                        <wp:extent cx="826770" cy="21717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sidRPr="00AB1CE5">
                    <w:t xml:space="preserve"> where </w:t>
                  </w:r>
                  <w:r w:rsidRPr="00AB1CE5">
                    <w:rPr>
                      <w:noProof/>
                      <w:position w:val="-6"/>
                      <w:lang w:val="en-US" w:eastAsia="zh-TW"/>
                    </w:rPr>
                    <w:drawing>
                      <wp:inline distT="0" distB="0" distL="0" distR="0" wp14:anchorId="47CAAB6C" wp14:editId="451F212E">
                        <wp:extent cx="117475" cy="1524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475" cy="152400"/>
                                </a:xfrm>
                                <a:prstGeom prst="rect">
                                  <a:avLst/>
                                </a:prstGeom>
                                <a:noFill/>
                                <a:ln>
                                  <a:noFill/>
                                </a:ln>
                              </pic:spPr>
                            </pic:pic>
                          </a:graphicData>
                        </a:graphic>
                      </wp:inline>
                    </w:drawing>
                  </w:r>
                  <w:r w:rsidRPr="00AB1CE5">
                    <w:rPr>
                      <w:lang w:val="en-US"/>
                    </w:rPr>
                    <w:t xml:space="preserve"> is the slot where the UE would transmit a PUCCH with HARQ-ACK information for the PDSCH providing the activation command and </w:t>
                  </w:r>
                  <w:r w:rsidRPr="00AB1CE5">
                    <w:rPr>
                      <w:noProof/>
                      <w:position w:val="-10"/>
                      <w:lang w:val="en-US" w:eastAsia="zh-TW"/>
                    </w:rPr>
                    <w:drawing>
                      <wp:inline distT="0" distB="0" distL="0" distR="0" wp14:anchorId="5648BE79" wp14:editId="3FBFFCDA">
                        <wp:extent cx="152400" cy="1524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B1CE5">
                    <w:t xml:space="preserve"> is the SCS configuration for </w:t>
                  </w:r>
                  <w:r w:rsidRPr="00AB1CE5">
                    <w:rPr>
                      <w:lang w:val="en-US"/>
                    </w:rPr>
                    <w:t xml:space="preserve">the </w:t>
                  </w:r>
                  <w:r w:rsidRPr="00AB1CE5">
                    <w:t>PUCCH</w:t>
                  </w:r>
                  <w:r w:rsidRPr="00AB1CE5">
                    <w:rPr>
                      <w:lang w:val="en-US"/>
                    </w:rPr>
                    <w:t>. The active BWP is defined as the active BWP in the slot when the activation command is applied.</w:t>
                  </w:r>
                </w:p>
              </w:txbxContent>
            </v:textbox>
            <w10:wrap type="square"/>
          </v:shape>
        </w:pict>
      </w:r>
    </w:p>
    <w:p w:rsidR="005C25F9" w:rsidRDefault="005C25F9" w:rsidP="009C4D8A">
      <w:pPr>
        <w:pStyle w:val="CRCoverPage"/>
        <w:tabs>
          <w:tab w:val="left" w:pos="383"/>
        </w:tabs>
        <w:spacing w:after="0"/>
        <w:jc w:val="both"/>
        <w:rPr>
          <w:rFonts w:asciiTheme="minorHAnsi" w:hAnsiTheme="minorHAnsi"/>
        </w:rPr>
      </w:pPr>
    </w:p>
    <w:p w:rsidR="003602A8" w:rsidRPr="003602A8" w:rsidRDefault="003602A8" w:rsidP="003602A8">
      <w:pPr>
        <w:pStyle w:val="CRCoverPage"/>
        <w:tabs>
          <w:tab w:val="left" w:pos="383"/>
        </w:tabs>
        <w:spacing w:after="0"/>
        <w:jc w:val="both"/>
        <w:rPr>
          <w:rFonts w:asciiTheme="minorHAnsi" w:hAnsiTheme="minorHAnsi"/>
          <w:b/>
          <w:sz w:val="22"/>
          <w:szCs w:val="22"/>
          <w:lang w:val="en-US"/>
        </w:rPr>
      </w:pPr>
      <w:bookmarkStart w:id="6" w:name="_Ref47622394"/>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825EAF">
        <w:rPr>
          <w:rFonts w:ascii="Calibri" w:eastAsia="SimSun" w:hAnsi="Calibri" w:cs="Arial"/>
          <w:b/>
          <w:bCs/>
          <w:noProof/>
        </w:rPr>
        <w:t>2</w:t>
      </w:r>
      <w:r w:rsidRPr="007D339C">
        <w:rPr>
          <w:rFonts w:ascii="Calibri" w:eastAsia="SimSun" w:hAnsi="Calibri" w:cs="Arial"/>
          <w:b/>
          <w:bCs/>
        </w:rPr>
        <w:fldChar w:fldCharType="end"/>
      </w:r>
      <w:r w:rsidRPr="007D339C">
        <w:rPr>
          <w:rFonts w:ascii="Calibri" w:eastAsia="SimSun" w:hAnsi="Calibri" w:cs="Arial"/>
          <w:b/>
          <w:bCs/>
        </w:rPr>
        <w:t xml:space="preserve">: </w:t>
      </w:r>
      <w:r w:rsidRPr="003602A8">
        <w:rPr>
          <w:rFonts w:asciiTheme="minorHAnsi" w:hAnsiTheme="minorHAnsi"/>
          <w:b/>
          <w:sz w:val="22"/>
          <w:szCs w:val="22"/>
        </w:rPr>
        <w:t xml:space="preserve">UE </w:t>
      </w:r>
      <w:r w:rsidRPr="003602A8">
        <w:rPr>
          <w:rFonts w:asciiTheme="minorHAnsi" w:hAnsiTheme="minorHAnsi"/>
          <w:b/>
          <w:sz w:val="22"/>
          <w:szCs w:val="22"/>
          <w:lang w:val="en-US"/>
        </w:rPr>
        <w:t>applies the TCI activation command in</w:t>
      </w:r>
      <w:r w:rsidRPr="003602A8">
        <w:rPr>
          <w:rFonts w:asciiTheme="minorHAnsi" w:hAnsiTheme="minorHAnsi"/>
          <w:b/>
          <w:sz w:val="22"/>
          <w:szCs w:val="22"/>
        </w:rPr>
        <w:t xml:space="preserve"> the first slot that is after slot </w:t>
      </w:r>
      <w:r w:rsidRPr="003602A8">
        <w:rPr>
          <w:rFonts w:asciiTheme="minorHAnsi" w:hAnsiTheme="minorHAnsi"/>
          <w:b/>
          <w:noProof/>
          <w:position w:val="-10"/>
          <w:sz w:val="22"/>
          <w:szCs w:val="22"/>
          <w:lang w:val="en-US" w:eastAsia="zh-TW"/>
        </w:rPr>
        <w:drawing>
          <wp:inline distT="0" distB="0" distL="0" distR="0" wp14:anchorId="34A1159A" wp14:editId="22C6772F">
            <wp:extent cx="826770" cy="21717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Pr>
          <w:rFonts w:asciiTheme="minorHAnsi" w:hAnsiTheme="minorHAnsi"/>
          <w:b/>
          <w:sz w:val="22"/>
          <w:szCs w:val="22"/>
        </w:rPr>
        <w:t>, in TS 38.213.</w:t>
      </w:r>
      <w:bookmarkEnd w:id="6"/>
      <w:r>
        <w:rPr>
          <w:rFonts w:asciiTheme="minorHAnsi" w:hAnsiTheme="minorHAnsi"/>
          <w:b/>
          <w:sz w:val="22"/>
          <w:szCs w:val="22"/>
        </w:rPr>
        <w:t xml:space="preserve"> </w:t>
      </w:r>
    </w:p>
    <w:p w:rsidR="005C25F9" w:rsidRDefault="005C25F9" w:rsidP="009C4D8A">
      <w:pPr>
        <w:pStyle w:val="CRCoverPage"/>
        <w:tabs>
          <w:tab w:val="left" w:pos="383"/>
        </w:tabs>
        <w:spacing w:after="0"/>
        <w:jc w:val="both"/>
        <w:rPr>
          <w:rFonts w:asciiTheme="minorHAnsi" w:hAnsiTheme="minorHAnsi"/>
          <w:b/>
          <w:sz w:val="22"/>
          <w:szCs w:val="22"/>
        </w:rPr>
      </w:pPr>
    </w:p>
    <w:p w:rsidR="005A6A71" w:rsidRDefault="00656AEA" w:rsidP="007E010C">
      <w:pPr>
        <w:jc w:val="both"/>
        <w:rPr>
          <w:rFonts w:eastAsia="MS Mincho" w:cs="Times New Roman"/>
          <w:lang w:val="en-GB" w:eastAsia="en-US"/>
        </w:rPr>
      </w:pPr>
      <w:r>
        <w:rPr>
          <w:rFonts w:eastAsia="MS Mincho" w:cs="Times New Roman"/>
          <w:lang w:val="en-GB" w:eastAsia="en-US"/>
        </w:rPr>
        <w:t xml:space="preserve">In addition, </w:t>
      </w:r>
      <w:r w:rsidRPr="00656AEA">
        <w:t>after slot</w:t>
      </w:r>
      <w:r w:rsidRPr="003602A8">
        <w:rPr>
          <w:b/>
        </w:rPr>
        <w:t xml:space="preserve"> </w:t>
      </w:r>
      <w:r w:rsidRPr="003602A8">
        <w:rPr>
          <w:b/>
          <w:noProof/>
          <w:position w:val="-10"/>
          <w:lang w:eastAsia="zh-TW"/>
        </w:rPr>
        <w:drawing>
          <wp:inline distT="0" distB="0" distL="0" distR="0" wp14:anchorId="5493A26A" wp14:editId="3ECAB0F2">
            <wp:extent cx="826770" cy="21717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Pr>
          <w:rFonts w:eastAsia="MS Mincho" w:cs="Times New Roman"/>
          <w:lang w:val="en-GB" w:eastAsia="en-US"/>
        </w:rPr>
        <w:t>, UE will apply new TCI to perform fine time sycn. And</w:t>
      </w:r>
      <w:r w:rsidR="005A6A71" w:rsidRPr="005A6A71">
        <w:rPr>
          <w:rFonts w:eastAsia="MS Mincho" w:cs="Times New Roman"/>
          <w:lang w:val="en-GB" w:eastAsia="en-US"/>
        </w:rPr>
        <w:t xml:space="preserve"> </w:t>
      </w:r>
      <w:r w:rsidR="005A6A71">
        <w:rPr>
          <w:rFonts w:eastAsia="MS Mincho" w:cs="Times New Roman"/>
          <w:lang w:val="en-GB" w:eastAsia="en-US"/>
        </w:rPr>
        <w:t>the UE may still be able to received PDCCH with the new TCI, although the performance would be degraded due to the lack of SSB for fine time sync</w:t>
      </w:r>
      <w:r w:rsidR="00A47C11">
        <w:rPr>
          <w:rFonts w:eastAsia="MS Mincho" w:cs="Times New Roman"/>
          <w:lang w:val="en-GB" w:eastAsia="en-US"/>
        </w:rPr>
        <w:t>,</w:t>
      </w:r>
      <w:r w:rsidR="005A6A71">
        <w:rPr>
          <w:rFonts w:eastAsia="MS Mincho" w:cs="Times New Roman"/>
          <w:lang w:val="en-GB" w:eastAsia="en-US"/>
        </w:rPr>
        <w:t xml:space="preserve"> when the new TCI is not in the activation list. </w:t>
      </w:r>
    </w:p>
    <w:p w:rsidR="00FB5C09" w:rsidRDefault="00FB5C09" w:rsidP="00FB5C09">
      <w:pPr>
        <w:pStyle w:val="CRCoverPage"/>
        <w:tabs>
          <w:tab w:val="left" w:pos="383"/>
        </w:tabs>
        <w:spacing w:after="0"/>
        <w:jc w:val="both"/>
        <w:rPr>
          <w:rFonts w:asciiTheme="minorHAnsi" w:hAnsiTheme="minorHAnsi"/>
          <w:b/>
          <w:sz w:val="22"/>
          <w:szCs w:val="22"/>
          <w:lang w:val="en-US"/>
        </w:rPr>
      </w:pPr>
      <w:bookmarkStart w:id="7" w:name="_Ref47622396"/>
      <w:r w:rsidRPr="007D339C">
        <w:rPr>
          <w:rFonts w:ascii="Calibri" w:eastAsia="SimSun" w:hAnsi="Calibri" w:cs="Arial"/>
          <w:b/>
          <w:bCs/>
        </w:rPr>
        <w:t xml:space="preserve">Observation </w:t>
      </w:r>
      <w:r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Pr="007D339C">
        <w:rPr>
          <w:rFonts w:ascii="Calibri" w:eastAsia="SimSun" w:hAnsi="Calibri" w:cs="Arial"/>
          <w:b/>
          <w:bCs/>
        </w:rPr>
        <w:fldChar w:fldCharType="separate"/>
      </w:r>
      <w:r w:rsidR="00825EAF">
        <w:rPr>
          <w:rFonts w:ascii="Calibri" w:eastAsia="SimSun" w:hAnsi="Calibri" w:cs="Arial"/>
          <w:b/>
          <w:bCs/>
          <w:noProof/>
        </w:rPr>
        <w:t>3</w:t>
      </w:r>
      <w:r w:rsidRPr="007D339C">
        <w:rPr>
          <w:rFonts w:ascii="Calibri" w:eastAsia="SimSun" w:hAnsi="Calibri" w:cs="Arial"/>
          <w:b/>
          <w:bCs/>
        </w:rPr>
        <w:fldChar w:fldCharType="end"/>
      </w:r>
      <w:r w:rsidRPr="007D339C">
        <w:rPr>
          <w:rFonts w:ascii="Calibri" w:eastAsia="SimSun" w:hAnsi="Calibri" w:cs="Arial"/>
          <w:b/>
          <w:bCs/>
        </w:rPr>
        <w:t xml:space="preserve">: </w:t>
      </w:r>
      <w:r w:rsidRPr="003602A8">
        <w:rPr>
          <w:rFonts w:asciiTheme="minorHAnsi" w:hAnsiTheme="minorHAnsi"/>
          <w:b/>
          <w:sz w:val="22"/>
          <w:szCs w:val="22"/>
        </w:rPr>
        <w:t xml:space="preserve">UE </w:t>
      </w:r>
      <w:r w:rsidR="00656AEA">
        <w:rPr>
          <w:rFonts w:asciiTheme="minorHAnsi" w:hAnsiTheme="minorHAnsi"/>
          <w:b/>
          <w:sz w:val="22"/>
          <w:szCs w:val="22"/>
        </w:rPr>
        <w:t xml:space="preserve">will apply new TCI for fine time sync and </w:t>
      </w:r>
      <w:r w:rsidRPr="00A47C11">
        <w:rPr>
          <w:rFonts w:asciiTheme="minorHAnsi" w:hAnsiTheme="minorHAnsi"/>
          <w:b/>
          <w:sz w:val="22"/>
          <w:szCs w:val="22"/>
          <w:lang w:val="en-US"/>
        </w:rPr>
        <w:t>may be able to received PDCCH with the new TCI, although the performance would be degraded due to the lack of SSB for fine time sync</w:t>
      </w:r>
      <w:r>
        <w:rPr>
          <w:rFonts w:asciiTheme="minorHAnsi" w:hAnsiTheme="minorHAnsi"/>
          <w:b/>
          <w:sz w:val="22"/>
          <w:szCs w:val="22"/>
          <w:lang w:val="en-US"/>
        </w:rPr>
        <w:t>.</w:t>
      </w:r>
      <w:bookmarkEnd w:id="7"/>
    </w:p>
    <w:p w:rsidR="00333F6A" w:rsidRDefault="00333F6A" w:rsidP="007E010C">
      <w:pPr>
        <w:jc w:val="both"/>
        <w:rPr>
          <w:rFonts w:eastAsia="MS Mincho" w:cs="Times New Roman"/>
          <w:lang w:eastAsia="en-US"/>
        </w:rPr>
      </w:pPr>
    </w:p>
    <w:p w:rsidR="005A6A71" w:rsidRPr="00C466E0" w:rsidRDefault="0087167E" w:rsidP="007E010C">
      <w:pPr>
        <w:jc w:val="both"/>
        <w:rPr>
          <w:rFonts w:eastAsia="MS Mincho" w:cs="Times New Roman"/>
          <w:lang w:eastAsia="en-US"/>
        </w:rPr>
      </w:pPr>
      <w:r>
        <w:rPr>
          <w:rFonts w:eastAsia="MS Mincho" w:cs="Times New Roman"/>
          <w:lang w:eastAsia="en-US"/>
        </w:rPr>
        <w:t>S</w:t>
      </w:r>
      <w:r w:rsidR="00C466E0">
        <w:rPr>
          <w:rFonts w:eastAsia="MS Mincho" w:cs="Times New Roman"/>
          <w:lang w:eastAsia="en-US"/>
        </w:rPr>
        <w:t>ince UE already</w:t>
      </w:r>
      <w:r>
        <w:rPr>
          <w:rFonts w:eastAsia="MS Mincho" w:cs="Times New Roman"/>
          <w:lang w:eastAsia="en-US"/>
        </w:rPr>
        <w:t xml:space="preserve"> applies</w:t>
      </w:r>
      <w:r w:rsidR="00C466E0">
        <w:rPr>
          <w:rFonts w:eastAsia="MS Mincho" w:cs="Times New Roman"/>
          <w:lang w:eastAsia="en-US"/>
        </w:rPr>
        <w:t xml:space="preserve"> </w:t>
      </w:r>
      <w:r w:rsidR="00333F6A">
        <w:rPr>
          <w:rFonts w:eastAsia="MS Mincho" w:cs="Times New Roman"/>
          <w:lang w:eastAsia="en-US"/>
        </w:rPr>
        <w:t>the new TCI for fine time sync</w:t>
      </w:r>
      <w:r>
        <w:rPr>
          <w:rFonts w:eastAsia="MS Mincho" w:cs="Times New Roman"/>
          <w:lang w:eastAsia="en-US"/>
        </w:rPr>
        <w:t>, w</w:t>
      </w:r>
      <w:r>
        <w:rPr>
          <w:rFonts w:eastAsia="MS Mincho" w:cs="Times New Roman"/>
          <w:lang w:val="en-GB" w:eastAsia="en-US"/>
        </w:rPr>
        <w:t xml:space="preserve">e do not observe the benefit for forcing UE to </w:t>
      </w:r>
      <w:r>
        <w:rPr>
          <w:rFonts w:eastAsia="MS Mincho" w:cs="Times New Roman"/>
          <w:lang w:eastAsia="en-US"/>
        </w:rPr>
        <w:t>go back to the old TCI</w:t>
      </w:r>
      <w:r w:rsidR="00363B94">
        <w:rPr>
          <w:rFonts w:eastAsia="MS Mincho" w:cs="Times New Roman"/>
          <w:lang w:eastAsia="en-US"/>
        </w:rPr>
        <w:t xml:space="preserve">, while introducing such new UE behavior and unnecessary restrictions will complicate UE implementation. </w:t>
      </w:r>
      <w:r w:rsidR="00C466E0">
        <w:rPr>
          <w:rFonts w:eastAsia="MS Mincho" w:cs="Times New Roman"/>
          <w:lang w:val="en-GB" w:eastAsia="en-US"/>
        </w:rPr>
        <w:t>Besides</w:t>
      </w:r>
      <w:r w:rsidR="005A6A71">
        <w:rPr>
          <w:rFonts w:eastAsia="MS Mincho" w:cs="Times New Roman"/>
          <w:lang w:val="en-GB" w:eastAsia="en-US"/>
        </w:rPr>
        <w:t>,</w:t>
      </w:r>
      <w:r w:rsidR="00A47C11">
        <w:rPr>
          <w:rFonts w:eastAsia="MS Mincho" w:cs="Times New Roman"/>
          <w:lang w:val="en-GB" w:eastAsia="en-US"/>
        </w:rPr>
        <w:t xml:space="preserve"> the</w:t>
      </w:r>
      <w:r w:rsidR="005A6A71">
        <w:rPr>
          <w:rFonts w:eastAsia="MS Mincho" w:cs="Times New Roman"/>
          <w:lang w:val="en-GB" w:eastAsia="en-US"/>
        </w:rPr>
        <w:t xml:space="preserve"> TCI triggering is controlled by network, </w:t>
      </w:r>
      <w:r w:rsidR="00A47C11">
        <w:rPr>
          <w:rFonts w:eastAsia="MS Mincho" w:cs="Times New Roman"/>
          <w:lang w:val="en-GB" w:eastAsia="en-US"/>
        </w:rPr>
        <w:t xml:space="preserve">and it can be triggered </w:t>
      </w:r>
      <w:r w:rsidR="00833A93">
        <w:rPr>
          <w:rFonts w:eastAsia="MS Mincho" w:cs="Times New Roman"/>
          <w:lang w:val="en-GB" w:eastAsia="en-US"/>
        </w:rPr>
        <w:t>based on</w:t>
      </w:r>
      <w:r w:rsidR="00B25EA3">
        <w:rPr>
          <w:rFonts w:eastAsia="MS Mincho" w:cs="Times New Roman"/>
          <w:lang w:val="en-GB" w:eastAsia="en-US"/>
        </w:rPr>
        <w:t xml:space="preserve"> both of</w:t>
      </w:r>
      <w:r w:rsidR="00833A93">
        <w:rPr>
          <w:rFonts w:eastAsia="MS Mincho" w:cs="Times New Roman"/>
          <w:lang w:val="en-GB" w:eastAsia="en-US"/>
        </w:rPr>
        <w:t xml:space="preserve"> </w:t>
      </w:r>
      <w:r w:rsidR="00A47C11">
        <w:rPr>
          <w:rFonts w:eastAsia="MS Mincho" w:cs="Times New Roman"/>
          <w:lang w:val="en-GB" w:eastAsia="en-US"/>
        </w:rPr>
        <w:t>link quality and channel loading. Thus, it</w:t>
      </w:r>
      <w:r w:rsidR="00B25EA3">
        <w:rPr>
          <w:rFonts w:eastAsia="MS Mincho" w:cs="Times New Roman"/>
          <w:lang w:val="en-GB" w:eastAsia="en-US"/>
        </w:rPr>
        <w:t xml:space="preserve"> i</w:t>
      </w:r>
      <w:r w:rsidR="00A47C11">
        <w:rPr>
          <w:rFonts w:eastAsia="MS Mincho" w:cs="Times New Roman"/>
          <w:lang w:val="en-GB" w:eastAsia="en-US"/>
        </w:rPr>
        <w:t>s unlikely UE with the new TCI will</w:t>
      </w:r>
      <w:r w:rsidR="00B25EA3">
        <w:rPr>
          <w:rFonts w:eastAsia="MS Mincho" w:cs="Times New Roman"/>
          <w:lang w:val="en-GB" w:eastAsia="en-US"/>
        </w:rPr>
        <w:t xml:space="preserve"> encounter</w:t>
      </w:r>
      <w:r w:rsidR="00A47C11">
        <w:rPr>
          <w:rFonts w:eastAsia="MS Mincho" w:cs="Times New Roman"/>
          <w:lang w:val="en-GB" w:eastAsia="en-US"/>
        </w:rPr>
        <w:t xml:space="preserve"> </w:t>
      </w:r>
      <w:r w:rsidR="00833A93">
        <w:rPr>
          <w:rFonts w:eastAsia="MS Mincho" w:cs="Times New Roman"/>
          <w:lang w:val="en-GB" w:eastAsia="en-US"/>
        </w:rPr>
        <w:t xml:space="preserve">more serious LBT </w:t>
      </w:r>
      <w:r w:rsidR="00A47C11">
        <w:rPr>
          <w:rFonts w:eastAsia="MS Mincho" w:cs="Times New Roman"/>
          <w:lang w:val="en-GB" w:eastAsia="en-US"/>
        </w:rPr>
        <w:t xml:space="preserve">loading issue than </w:t>
      </w:r>
      <w:r w:rsidR="00833A93">
        <w:rPr>
          <w:rFonts w:eastAsia="MS Mincho" w:cs="Times New Roman"/>
          <w:lang w:val="en-GB" w:eastAsia="en-US"/>
        </w:rPr>
        <w:t xml:space="preserve">with </w:t>
      </w:r>
      <w:r w:rsidR="00A47C11">
        <w:rPr>
          <w:rFonts w:eastAsia="MS Mincho" w:cs="Times New Roman"/>
          <w:lang w:val="en-GB" w:eastAsia="en-US"/>
        </w:rPr>
        <w:t>the old TCI.</w:t>
      </w:r>
      <w:r w:rsidR="00833A93">
        <w:rPr>
          <w:rFonts w:eastAsia="MS Mincho" w:cs="Times New Roman"/>
          <w:lang w:val="en-GB" w:eastAsia="en-US"/>
        </w:rPr>
        <w:t xml:space="preserve"> </w:t>
      </w:r>
    </w:p>
    <w:p w:rsidR="00333F6A" w:rsidRPr="00333F6A" w:rsidRDefault="00333F6A" w:rsidP="00333F6A">
      <w:pPr>
        <w:jc w:val="both"/>
      </w:pPr>
      <w:bookmarkStart w:id="8" w:name="_Ref47622368"/>
      <w:r w:rsidRPr="00E019A0">
        <w:rPr>
          <w:rFonts w:ascii="Calibri" w:eastAsia="SimSun" w:hAnsi="Calibri" w:cs="Arial"/>
          <w:b/>
          <w:bCs/>
        </w:rPr>
        <w:t xml:space="preserve">Proposal </w:t>
      </w:r>
      <w:r w:rsidRPr="00E019A0">
        <w:rPr>
          <w:rFonts w:ascii="Calibri" w:eastAsia="SimSun" w:hAnsi="Calibri" w:cs="Arial"/>
          <w:b/>
          <w:bCs/>
        </w:rPr>
        <w:fldChar w:fldCharType="begin"/>
      </w:r>
      <w:r w:rsidRPr="00E019A0">
        <w:rPr>
          <w:rFonts w:ascii="Calibri" w:eastAsia="SimSun" w:hAnsi="Calibri" w:cs="Arial"/>
          <w:b/>
          <w:bCs/>
        </w:rPr>
        <w:instrText xml:space="preserve"> SEQ Proposal \* ARABIC </w:instrText>
      </w:r>
      <w:r w:rsidRPr="00E019A0">
        <w:rPr>
          <w:rFonts w:ascii="Calibri" w:eastAsia="SimSun" w:hAnsi="Calibri" w:cs="Arial"/>
          <w:b/>
          <w:bCs/>
        </w:rPr>
        <w:fldChar w:fldCharType="separate"/>
      </w:r>
      <w:r w:rsidR="00825EAF">
        <w:rPr>
          <w:rFonts w:ascii="Calibri" w:eastAsia="SimSun" w:hAnsi="Calibri" w:cs="Arial"/>
          <w:b/>
          <w:bCs/>
          <w:noProof/>
        </w:rPr>
        <w:t>3</w:t>
      </w:r>
      <w:r w:rsidRPr="00E019A0">
        <w:rPr>
          <w:rFonts w:ascii="Calibri" w:eastAsia="SimSun" w:hAnsi="Calibri" w:cs="Arial"/>
          <w:b/>
          <w:bCs/>
        </w:rPr>
        <w:fldChar w:fldCharType="end"/>
      </w:r>
      <w:r w:rsidRPr="00E019A0">
        <w:rPr>
          <w:rFonts w:ascii="Calibri" w:eastAsia="SimSun" w:hAnsi="Calibri" w:cs="Arial"/>
          <w:b/>
          <w:bCs/>
        </w:rPr>
        <w:t xml:space="preserve">: </w:t>
      </w:r>
      <w:r>
        <w:rPr>
          <w:b/>
        </w:rPr>
        <w:t xml:space="preserve">Since UE </w:t>
      </w:r>
      <w:r w:rsidRPr="00333F6A">
        <w:rPr>
          <w:b/>
        </w:rPr>
        <w:t>already</w:t>
      </w:r>
      <w:r w:rsidR="0087167E">
        <w:rPr>
          <w:b/>
        </w:rPr>
        <w:t xml:space="preserve"> applies</w:t>
      </w:r>
      <w:r w:rsidRPr="00333F6A">
        <w:rPr>
          <w:b/>
        </w:rPr>
        <w:t xml:space="preserve"> the new TCI for fine time sync</w:t>
      </w:r>
      <w:r>
        <w:rPr>
          <w:b/>
        </w:rPr>
        <w:t>, UE shall not be forced to go back to the old TCI.</w:t>
      </w:r>
      <w:bookmarkEnd w:id="8"/>
    </w:p>
    <w:p w:rsidR="00AE1248" w:rsidRPr="007E010C" w:rsidRDefault="00244954" w:rsidP="00833A93">
      <w:pPr>
        <w:jc w:val="both"/>
      </w:pPr>
      <w:bookmarkStart w:id="9" w:name="_Ref47266262"/>
      <w:r w:rsidRPr="00E019A0">
        <w:rPr>
          <w:rFonts w:ascii="Calibri" w:eastAsia="SimSun" w:hAnsi="Calibri" w:cs="Arial"/>
          <w:b/>
          <w:bCs/>
        </w:rPr>
        <w:t xml:space="preserve">Proposal </w:t>
      </w:r>
      <w:r w:rsidRPr="00E019A0">
        <w:rPr>
          <w:rFonts w:ascii="Calibri" w:eastAsia="SimSun" w:hAnsi="Calibri" w:cs="Arial"/>
          <w:b/>
          <w:bCs/>
        </w:rPr>
        <w:fldChar w:fldCharType="begin"/>
      </w:r>
      <w:r w:rsidRPr="00E019A0">
        <w:rPr>
          <w:rFonts w:ascii="Calibri" w:eastAsia="SimSun" w:hAnsi="Calibri" w:cs="Arial"/>
          <w:b/>
          <w:bCs/>
        </w:rPr>
        <w:instrText xml:space="preserve"> SEQ Proposal \* ARABIC </w:instrText>
      </w:r>
      <w:r w:rsidRPr="00E019A0">
        <w:rPr>
          <w:rFonts w:ascii="Calibri" w:eastAsia="SimSun" w:hAnsi="Calibri" w:cs="Arial"/>
          <w:b/>
          <w:bCs/>
        </w:rPr>
        <w:fldChar w:fldCharType="separate"/>
      </w:r>
      <w:r w:rsidR="00825EAF">
        <w:rPr>
          <w:rFonts w:ascii="Calibri" w:eastAsia="SimSun" w:hAnsi="Calibri" w:cs="Arial"/>
          <w:b/>
          <w:bCs/>
          <w:noProof/>
        </w:rPr>
        <w:t>4</w:t>
      </w:r>
      <w:r w:rsidRPr="00E019A0">
        <w:rPr>
          <w:rFonts w:ascii="Calibri" w:eastAsia="SimSun" w:hAnsi="Calibri" w:cs="Arial"/>
          <w:b/>
          <w:bCs/>
        </w:rPr>
        <w:fldChar w:fldCharType="end"/>
      </w:r>
      <w:r w:rsidRPr="00E019A0">
        <w:rPr>
          <w:rFonts w:ascii="Calibri" w:eastAsia="SimSun" w:hAnsi="Calibri" w:cs="Arial"/>
          <w:b/>
          <w:bCs/>
        </w:rPr>
        <w:t xml:space="preserve">: </w:t>
      </w:r>
      <w:r w:rsidRPr="00244954">
        <w:rPr>
          <w:rFonts w:hint="eastAsia"/>
          <w:b/>
        </w:rPr>
        <w:t>U</w:t>
      </w:r>
      <w:r w:rsidRPr="00244954">
        <w:rPr>
          <w:b/>
        </w:rPr>
        <w:t xml:space="preserve">E </w:t>
      </w:r>
      <w:r w:rsidR="00F828A9">
        <w:rPr>
          <w:b/>
        </w:rPr>
        <w:t>may apply new</w:t>
      </w:r>
      <w:r w:rsidRPr="00244954">
        <w:rPr>
          <w:b/>
        </w:rPr>
        <w:t xml:space="preserve"> TCI state </w:t>
      </w:r>
      <w:r w:rsidR="00F828A9">
        <w:rPr>
          <w:b/>
        </w:rPr>
        <w:t>with degraded performance</w:t>
      </w:r>
      <w:r w:rsidR="00F828A9" w:rsidRPr="00244954">
        <w:rPr>
          <w:b/>
        </w:rPr>
        <w:t xml:space="preserve"> </w:t>
      </w:r>
      <w:r w:rsidRPr="00244954">
        <w:rPr>
          <w:b/>
        </w:rPr>
        <w:t>upon</w:t>
      </w:r>
      <w:r w:rsidR="00486828">
        <w:rPr>
          <w:b/>
        </w:rPr>
        <w:t xml:space="preserve"> </w:t>
      </w:r>
      <w:r w:rsidR="00486828" w:rsidRPr="00486828">
        <w:rPr>
          <w:b/>
          <w:lang w:val="x-none"/>
        </w:rPr>
        <w:t>L</w:t>
      </w:r>
      <w:r w:rsidR="00486828" w:rsidRPr="00486828">
        <w:rPr>
          <w:b/>
          <w:vertAlign w:val="subscript"/>
          <w:lang w:val="x-none"/>
        </w:rPr>
        <w:t>MAC,known</w:t>
      </w:r>
      <w:r w:rsidR="00486828">
        <w:rPr>
          <w:b/>
          <w:vertAlign w:val="subscript"/>
          <w:lang w:val="x-none"/>
        </w:rPr>
        <w:t xml:space="preserve"> </w:t>
      </w:r>
      <w:r w:rsidR="00486828" w:rsidRPr="00244954">
        <w:rPr>
          <w:rFonts w:eastAsia="Malgun Gothic"/>
          <w:b/>
        </w:rPr>
        <w:t>exceeding</w:t>
      </w:r>
      <w:r w:rsidR="00486828" w:rsidRPr="00244954">
        <w:rPr>
          <w:b/>
        </w:rPr>
        <w:t xml:space="preserve"> </w:t>
      </w:r>
      <w:r w:rsidR="00486828" w:rsidRPr="00486828">
        <w:rPr>
          <w:b/>
          <w:lang w:val="x-none"/>
        </w:rPr>
        <w:t>L</w:t>
      </w:r>
      <w:r w:rsidR="00486828" w:rsidRPr="00486828">
        <w:rPr>
          <w:b/>
          <w:vertAlign w:val="subscript"/>
          <w:lang w:val="x-none"/>
        </w:rPr>
        <w:t>MAC,known</w:t>
      </w:r>
      <w:r w:rsidR="00486828">
        <w:rPr>
          <w:b/>
          <w:vertAlign w:val="subscript"/>
          <w:lang w:val="x-none"/>
        </w:rPr>
        <w:t xml:space="preserve">,max </w:t>
      </w:r>
      <w:r w:rsidR="00486828">
        <w:rPr>
          <w:b/>
        </w:rPr>
        <w:t xml:space="preserve">or </w:t>
      </w:r>
      <w:r w:rsidRPr="00244954">
        <w:rPr>
          <w:b/>
        </w:rPr>
        <w:t>L2</w:t>
      </w:r>
      <w:r w:rsidRPr="00244954">
        <w:rPr>
          <w:b/>
          <w:vertAlign w:val="subscript"/>
        </w:rPr>
        <w:t>MAC,unknown</w:t>
      </w:r>
      <w:r w:rsidRPr="00244954">
        <w:rPr>
          <w:rFonts w:eastAsia="Malgun Gothic"/>
          <w:b/>
          <w:vertAlign w:val="subscript"/>
        </w:rPr>
        <w:t xml:space="preserve"> </w:t>
      </w:r>
      <w:r w:rsidRPr="00244954">
        <w:rPr>
          <w:rFonts w:eastAsia="Malgun Gothic"/>
          <w:b/>
        </w:rPr>
        <w:t xml:space="preserve">exceeding </w:t>
      </w:r>
      <w:r w:rsidRPr="00244954">
        <w:rPr>
          <w:b/>
        </w:rPr>
        <w:t>L2</w:t>
      </w:r>
      <w:r w:rsidRPr="00244954">
        <w:rPr>
          <w:b/>
          <w:vertAlign w:val="subscript"/>
        </w:rPr>
        <w:t>MAC,unknown,max.</w:t>
      </w:r>
      <w:bookmarkEnd w:id="9"/>
      <w:r w:rsidR="00F828A9">
        <w:rPr>
          <w:b/>
        </w:rPr>
        <w:t>.</w:t>
      </w:r>
    </w:p>
    <w:p w:rsidR="00AE1248" w:rsidRPr="00AE1248" w:rsidRDefault="00AE1248" w:rsidP="00AE1248">
      <w:pPr>
        <w:pStyle w:val="1"/>
        <w:numPr>
          <w:ilvl w:val="0"/>
          <w:numId w:val="1"/>
        </w:numPr>
        <w:rPr>
          <w:rFonts w:ascii="Calibri" w:hAnsi="Calibri"/>
        </w:rPr>
      </w:pPr>
      <w:r>
        <w:rPr>
          <w:rFonts w:ascii="Calibri" w:hAnsi="Calibri"/>
        </w:rPr>
        <w:t>RRC</w:t>
      </w:r>
      <w:r w:rsidRPr="00AE1248">
        <w:rPr>
          <w:rFonts w:ascii="Calibri" w:hAnsi="Calibri"/>
        </w:rPr>
        <w:t xml:space="preserve"> based TCI state switch delay</w:t>
      </w:r>
    </w:p>
    <w:p w:rsidR="00A403BA" w:rsidRPr="00977B6E" w:rsidRDefault="00DE1800" w:rsidP="00A403BA">
      <w:pPr>
        <w:rPr>
          <w:lang w:val="en-GB" w:eastAsia="en-US"/>
        </w:rPr>
      </w:pPr>
      <w:r>
        <w:rPr>
          <w:noProof/>
        </w:rPr>
        <w:pict>
          <v:shape id="_x0000_s1028" type="#_x0000_t202" style="position:absolute;margin-left:4.05pt;margin-top:45.9pt;width:476.05pt;height:73.9pt;z-index:251663360;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vrNKAIAAE4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pqLF9JoS&#10;wzSK9CSGQN7CQIrIT299iWGPFgPDgMeoc6rV2wfg3zwxsOmY2Yk756DvBGswv2m8mV1cHXF8BKn7&#10;j9DgM2wfIAENrdORPKSDIDrq9HzWJqbC8bC4WuTLK3Rx9E1n+WxRJPUyVp6uW+fDewGaxE1FHYqf&#10;4NnhwYeYDitPIfE1D0o2W6lUMtyu3ihHDgwbZZu+VMGLMGVIX9HlvJiPDPwVIk/fnyC0DNjxSuqK&#10;3pyDWBl5e2ea1I+BSTXuMWVljkRG7kYWw1APo2YnfWponpFZB2OD40DipgP3g5Iem7ui/vueOUGJ&#10;+mBQneV0NovTkIzZ/BqpJO7SU196mOEIVdFAybjdhDRBiTd7hypuZeI3yj1mckwZmzbRfhywOBWX&#10;dor69RtY/wQ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z1vrNKAIAAE4EAAAOAAAAAAAAAAAAAAAAAC4CAABkcnMvZTJvRG9j&#10;LnhtbFBLAQItABQABgAIAAAAIQBIWydy2wAAAAcBAAAPAAAAAAAAAAAAAAAAAIIEAABkcnMvZG93&#10;bnJldi54bWxQSwUGAAAAAAQABADzAAAAigUAAAAA&#10;">
            <v:textbox style="mso-next-textbox:#_x0000_s1028;mso-fit-shape-to-text:t">
              <w:txbxContent>
                <w:p w:rsidR="00977B6E" w:rsidRDefault="00977B6E">
                  <w:r w:rsidRPr="00A403BA">
                    <w:rPr>
                      <w:i/>
                    </w:rPr>
                    <w:t>For RRC based TCI state switching failure, the UE will not be able to receive any reference signals associated with the new TCI state and the link quality will be declared to be below the configured threshold. The BFD and BFR mechanism specified in Rel-15 will then trigger BF and recovery actions. In other words, there is no additional enhancement needed regarding this case in Rel-16.</w:t>
                  </w:r>
                </w:p>
              </w:txbxContent>
            </v:textbox>
            <w10:wrap type="square"/>
          </v:shape>
        </w:pict>
      </w:r>
      <w:r w:rsidR="00A403BA">
        <w:t xml:space="preserve">Regarding the UE behavior upon </w:t>
      </w:r>
      <w:r w:rsidR="00A403BA" w:rsidRPr="00244954">
        <w:rPr>
          <w:rFonts w:eastAsia="MS Mincho"/>
        </w:rPr>
        <w:t>exceeding Lmax</w:t>
      </w:r>
      <w:r w:rsidR="00A403BA">
        <w:rPr>
          <w:rFonts w:eastAsia="MS Mincho"/>
        </w:rPr>
        <w:t xml:space="preserve">, the </w:t>
      </w:r>
      <w:r w:rsidR="00A403BA">
        <w:t>corresponding</w:t>
      </w:r>
      <w:r w:rsidR="00A403BA">
        <w:rPr>
          <w:rFonts w:hint="eastAsia"/>
        </w:rPr>
        <w:t xml:space="preserve"> reply LS from RAN2 </w:t>
      </w:r>
      <w:r w:rsidR="00A403BA">
        <w:t>[1] as attached below</w:t>
      </w:r>
      <w:r w:rsidR="00667D08">
        <w:t xml:space="preserve"> for reference</w:t>
      </w:r>
      <w:r w:rsidR="00A403BA">
        <w:t xml:space="preserve">: </w:t>
      </w:r>
    </w:p>
    <w:p w:rsidR="00977B6E" w:rsidRDefault="00977B6E" w:rsidP="00667D08"/>
    <w:p w:rsidR="00AE1248" w:rsidRDefault="00A403BA" w:rsidP="00667D08">
      <w:r>
        <w:t xml:space="preserve">According to the reply LS, </w:t>
      </w:r>
      <w:r w:rsidR="00667D08">
        <w:t xml:space="preserve">existing </w:t>
      </w:r>
      <w:r w:rsidR="00A10753">
        <w:t xml:space="preserve">R15 </w:t>
      </w:r>
      <w:r w:rsidR="00667D08">
        <w:t xml:space="preserve">BFD &amp; BFR </w:t>
      </w:r>
      <w:r w:rsidR="00A10753" w:rsidRPr="00044562">
        <w:t>mechanism are enough</w:t>
      </w:r>
      <w:r w:rsidR="00667D08">
        <w:t xml:space="preserve"> to trigger the beam failure</w:t>
      </w:r>
      <w:r w:rsidR="00A10753">
        <w:t xml:space="preserve">, and </w:t>
      </w:r>
      <w:r w:rsidR="00667D08">
        <w:t xml:space="preserve">thus new </w:t>
      </w:r>
      <w:r w:rsidR="00A10753">
        <w:t xml:space="preserve">UE </w:t>
      </w:r>
      <w:r w:rsidR="000B5ADF">
        <w:t>behavior</w:t>
      </w:r>
      <w:r w:rsidR="00A10753">
        <w:t xml:space="preserve"> </w:t>
      </w:r>
      <w:r w:rsidR="00667D08">
        <w:t>and requirement are not needed to be specified</w:t>
      </w:r>
      <w:r w:rsidR="00A10753">
        <w:t>.</w:t>
      </w:r>
    </w:p>
    <w:p w:rsidR="00667D08" w:rsidRDefault="00667D08" w:rsidP="00667D08">
      <w:bookmarkStart w:id="10" w:name="_Ref47266265"/>
      <w:r w:rsidRPr="00E019A0">
        <w:rPr>
          <w:rFonts w:ascii="Calibri" w:eastAsia="SimSun" w:hAnsi="Calibri" w:cs="Arial"/>
          <w:b/>
          <w:bCs/>
        </w:rPr>
        <w:t xml:space="preserve">Proposal </w:t>
      </w:r>
      <w:r w:rsidRPr="00E019A0">
        <w:rPr>
          <w:rFonts w:ascii="Calibri" w:eastAsia="SimSun" w:hAnsi="Calibri" w:cs="Arial"/>
          <w:b/>
          <w:bCs/>
        </w:rPr>
        <w:fldChar w:fldCharType="begin"/>
      </w:r>
      <w:r w:rsidRPr="00E019A0">
        <w:rPr>
          <w:rFonts w:ascii="Calibri" w:eastAsia="SimSun" w:hAnsi="Calibri" w:cs="Arial"/>
          <w:b/>
          <w:bCs/>
        </w:rPr>
        <w:instrText xml:space="preserve"> SEQ Proposal \* ARABIC </w:instrText>
      </w:r>
      <w:r w:rsidRPr="00E019A0">
        <w:rPr>
          <w:rFonts w:ascii="Calibri" w:eastAsia="SimSun" w:hAnsi="Calibri" w:cs="Arial"/>
          <w:b/>
          <w:bCs/>
        </w:rPr>
        <w:fldChar w:fldCharType="separate"/>
      </w:r>
      <w:r w:rsidR="00825EAF">
        <w:rPr>
          <w:rFonts w:ascii="Calibri" w:eastAsia="SimSun" w:hAnsi="Calibri" w:cs="Arial"/>
          <w:b/>
          <w:bCs/>
          <w:noProof/>
        </w:rPr>
        <w:t>5</w:t>
      </w:r>
      <w:r w:rsidRPr="00E019A0">
        <w:rPr>
          <w:rFonts w:ascii="Calibri" w:eastAsia="SimSun" w:hAnsi="Calibri" w:cs="Arial"/>
          <w:b/>
          <w:bCs/>
        </w:rPr>
        <w:fldChar w:fldCharType="end"/>
      </w:r>
      <w:r w:rsidRPr="00E019A0">
        <w:rPr>
          <w:rFonts w:ascii="Calibri" w:eastAsia="SimSun" w:hAnsi="Calibri" w:cs="Arial"/>
          <w:b/>
          <w:bCs/>
        </w:rPr>
        <w:t xml:space="preserve">: </w:t>
      </w:r>
      <w:r>
        <w:rPr>
          <w:rFonts w:ascii="Calibri" w:eastAsia="SimSun" w:hAnsi="Calibri" w:cs="Arial"/>
          <w:b/>
          <w:bCs/>
        </w:rPr>
        <w:t xml:space="preserve">No need to specify the </w:t>
      </w:r>
      <w:r w:rsidRPr="00244954">
        <w:rPr>
          <w:rFonts w:hint="eastAsia"/>
          <w:b/>
        </w:rPr>
        <w:t>U</w:t>
      </w:r>
      <w:r w:rsidRPr="00244954">
        <w:rPr>
          <w:b/>
        </w:rPr>
        <w:t xml:space="preserve">E </w:t>
      </w:r>
      <w:r>
        <w:rPr>
          <w:b/>
        </w:rPr>
        <w:t>behavior</w:t>
      </w:r>
      <w:r w:rsidRPr="00244954">
        <w:rPr>
          <w:b/>
        </w:rPr>
        <w:t xml:space="preserve"> upon L2</w:t>
      </w:r>
      <w:r>
        <w:rPr>
          <w:b/>
          <w:vertAlign w:val="subscript"/>
        </w:rPr>
        <w:t>RRC</w:t>
      </w:r>
      <w:r w:rsidRPr="00244954">
        <w:rPr>
          <w:b/>
          <w:vertAlign w:val="subscript"/>
        </w:rPr>
        <w:t>,unknown</w:t>
      </w:r>
      <w:r w:rsidRPr="00244954">
        <w:rPr>
          <w:rFonts w:eastAsia="Malgun Gothic"/>
          <w:b/>
          <w:vertAlign w:val="subscript"/>
        </w:rPr>
        <w:t xml:space="preserve"> </w:t>
      </w:r>
      <w:r w:rsidRPr="00244954">
        <w:rPr>
          <w:rFonts w:eastAsia="Malgun Gothic"/>
          <w:b/>
        </w:rPr>
        <w:t xml:space="preserve">exceeding </w:t>
      </w:r>
      <w:r w:rsidRPr="00244954">
        <w:rPr>
          <w:b/>
        </w:rPr>
        <w:t>L2</w:t>
      </w:r>
      <w:r>
        <w:rPr>
          <w:b/>
          <w:vertAlign w:val="subscript"/>
        </w:rPr>
        <w:t>RRC</w:t>
      </w:r>
      <w:r w:rsidRPr="00244954">
        <w:rPr>
          <w:b/>
          <w:vertAlign w:val="subscript"/>
        </w:rPr>
        <w:t>,unknown,max</w:t>
      </w:r>
      <w:r>
        <w:rPr>
          <w:rFonts w:eastAsia="Malgun Gothic"/>
          <w:b/>
        </w:rPr>
        <w:t>.</w:t>
      </w:r>
      <w:bookmarkEnd w:id="10"/>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667D08">
        <w:t>TCI</w:t>
      </w:r>
      <w:r w:rsidR="00A45739" w:rsidRPr="00A45739">
        <w:t xml:space="preserve">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667D08" w:rsidRDefault="00667D08" w:rsidP="001E7AC0">
      <w:pPr>
        <w:adjustRightInd w:val="0"/>
        <w:snapToGrid w:val="0"/>
        <w:spacing w:before="180" w:after="120"/>
        <w:jc w:val="both"/>
      </w:pPr>
      <w:r>
        <w:fldChar w:fldCharType="begin"/>
      </w:r>
      <w:r>
        <w:instrText xml:space="preserve"> REF _Ref47266257 \h </w:instrText>
      </w:r>
      <w:r>
        <w:fldChar w:fldCharType="separate"/>
      </w:r>
      <w:r w:rsidR="00825EAF" w:rsidRPr="00E019A0">
        <w:rPr>
          <w:rFonts w:ascii="Calibri" w:eastAsia="SimSun" w:hAnsi="Calibri" w:cs="Arial"/>
          <w:b/>
          <w:bCs/>
        </w:rPr>
        <w:t xml:space="preserve">Proposal </w:t>
      </w:r>
      <w:r w:rsidR="00825EAF">
        <w:rPr>
          <w:rFonts w:ascii="Calibri" w:eastAsia="SimSun" w:hAnsi="Calibri" w:cs="Arial"/>
          <w:b/>
          <w:bCs/>
          <w:noProof/>
        </w:rPr>
        <w:t>1</w:t>
      </w:r>
      <w:r w:rsidR="00825EAF" w:rsidRPr="00E019A0">
        <w:rPr>
          <w:rFonts w:ascii="Calibri" w:eastAsia="SimSun" w:hAnsi="Calibri" w:cs="Arial"/>
          <w:b/>
          <w:bCs/>
        </w:rPr>
        <w:t xml:space="preserve">: </w:t>
      </w:r>
      <w:r w:rsidR="00825EAF">
        <w:rPr>
          <w:rFonts w:ascii="Calibri" w:eastAsia="SimSun" w:hAnsi="Calibri" w:cs="Arial"/>
          <w:b/>
          <w:bCs/>
        </w:rPr>
        <w:t xml:space="preserve">Remove </w:t>
      </w:r>
      <w:r w:rsidR="00825EAF" w:rsidRPr="00E019A0">
        <w:rPr>
          <w:rFonts w:ascii="Calibri" w:eastAsia="SimSun" w:hAnsi="Calibri" w:cs="Arial"/>
          <w:b/>
          <w:bCs/>
        </w:rPr>
        <w:t>L1-RSRP measurement from the requirement of unknown TCI state switch in NR-U.</w:t>
      </w:r>
      <w:r>
        <w:fldChar w:fldCharType="end"/>
      </w:r>
    </w:p>
    <w:p w:rsidR="00667D08" w:rsidRDefault="00667D08" w:rsidP="001E7AC0">
      <w:pPr>
        <w:adjustRightInd w:val="0"/>
        <w:snapToGrid w:val="0"/>
        <w:spacing w:before="180" w:after="120"/>
        <w:jc w:val="both"/>
      </w:pPr>
      <w:r>
        <w:fldChar w:fldCharType="begin"/>
      </w:r>
      <w:r>
        <w:instrText xml:space="preserve"> REF _Ref47266259 \h </w:instrText>
      </w:r>
      <w:r>
        <w:fldChar w:fldCharType="separate"/>
      </w:r>
      <w:r w:rsidR="00825EAF" w:rsidRPr="00E019A0">
        <w:rPr>
          <w:rFonts w:ascii="Calibri" w:eastAsia="SimSun" w:hAnsi="Calibri" w:cs="Arial"/>
          <w:b/>
          <w:bCs/>
        </w:rPr>
        <w:t xml:space="preserve">Proposal </w:t>
      </w:r>
      <w:r w:rsidR="00825EAF">
        <w:rPr>
          <w:rFonts w:ascii="Calibri" w:eastAsia="SimSun" w:hAnsi="Calibri" w:cs="Arial"/>
          <w:b/>
          <w:bCs/>
          <w:noProof/>
        </w:rPr>
        <w:t>2</w:t>
      </w:r>
      <w:r w:rsidR="00825EAF" w:rsidRPr="00E019A0">
        <w:rPr>
          <w:rFonts w:ascii="Calibri" w:eastAsia="SimSun" w:hAnsi="Calibri" w:cs="Arial"/>
          <w:b/>
          <w:bCs/>
        </w:rPr>
        <w:t xml:space="preserve">: </w:t>
      </w:r>
      <w:r w:rsidR="00825EAF" w:rsidRPr="00642567">
        <w:rPr>
          <w:b/>
        </w:rPr>
        <w:t>The UE shall be able to receive on the old TCI state until slot n</w:t>
      </w:r>
      <w:r w:rsidR="00825EAF" w:rsidRPr="00642567">
        <w:rPr>
          <w:rFonts w:eastAsia="Malgun Gothic"/>
          <w:b/>
        </w:rPr>
        <w:t>+</w:t>
      </w:r>
      <m:oMath>
        <m:r>
          <m:rPr>
            <m:sty m:val="p"/>
          </m:rPr>
          <w:rPr>
            <w:rFonts w:ascii="Cambria Math" w:hAnsi="Cambria Math" w:cs="SimSun"/>
            <w:sz w:val="24"/>
            <w:szCs w:val="24"/>
          </w:rPr>
          <m:t xml:space="preserve"> </m:t>
        </m:r>
        <m:sSubSup>
          <m:sSubSupPr>
            <m:ctrlPr>
              <w:rPr>
                <w:rFonts w:ascii="Cambria Math" w:hAnsi="Cambria Math" w:cs="SimSun"/>
                <w:b/>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825EAF" w:rsidRPr="00642567">
        <w:rPr>
          <w:rFonts w:eastAsia="Malgun Gothic"/>
          <w:b/>
        </w:rPr>
        <w:t xml:space="preserve"> + (T</w:t>
      </w:r>
      <w:r w:rsidR="00825EAF" w:rsidRPr="00642567">
        <w:rPr>
          <w:rFonts w:eastAsia="Malgun Gothic"/>
          <w:b/>
          <w:vertAlign w:val="subscript"/>
        </w:rPr>
        <w:t>HARQ</w:t>
      </w:r>
      <w:r w:rsidR="00825EAF" w:rsidRPr="00642567">
        <w:rPr>
          <w:rFonts w:eastAsia="Malgun Gothic"/>
          <w:b/>
        </w:rPr>
        <w:t xml:space="preserve"> </w:t>
      </w:r>
      <w:r w:rsidR="00825EAF" w:rsidRPr="00642567">
        <w:rPr>
          <w:b/>
        </w:rPr>
        <w:t xml:space="preserve">) / </w:t>
      </w:r>
      <w:r w:rsidR="00825EAF" w:rsidRPr="00642567">
        <w:rPr>
          <w:b/>
          <w:i/>
        </w:rPr>
        <w:t>NR slot length</w:t>
      </w:r>
      <w:r w:rsidR="00825EAF">
        <w:rPr>
          <w:b/>
        </w:rPr>
        <w:t xml:space="preserve">, for </w:t>
      </w:r>
      <w:r w:rsidR="00825EAF" w:rsidRPr="00642567">
        <w:rPr>
          <w:b/>
        </w:rPr>
        <w:t xml:space="preserve">MAC-CE based TCI state switch </w:t>
      </w:r>
      <w:r w:rsidR="00825EAF">
        <w:rPr>
          <w:b/>
        </w:rPr>
        <w:t>in NR-U.</w:t>
      </w:r>
      <w:r>
        <w:fldChar w:fldCharType="end"/>
      </w:r>
    </w:p>
    <w:p w:rsidR="001E18EE" w:rsidRDefault="001E18EE" w:rsidP="001E7AC0">
      <w:pPr>
        <w:adjustRightInd w:val="0"/>
        <w:snapToGrid w:val="0"/>
        <w:spacing w:before="180" w:after="120"/>
        <w:jc w:val="both"/>
      </w:pPr>
      <w:r>
        <w:fldChar w:fldCharType="begin"/>
      </w:r>
      <w:r>
        <w:instrText xml:space="preserve"> REF _Ref47622391 \h </w:instrText>
      </w:r>
      <w:r>
        <w:fldChar w:fldCharType="separate"/>
      </w:r>
      <w:r w:rsidRPr="007D339C">
        <w:rPr>
          <w:rFonts w:ascii="Calibri" w:eastAsia="SimSun" w:hAnsi="Calibri" w:cs="Arial"/>
          <w:b/>
          <w:bCs/>
        </w:rPr>
        <w:t xml:space="preserve">Observation </w:t>
      </w:r>
      <w:r>
        <w:rPr>
          <w:rFonts w:ascii="Calibri" w:eastAsia="SimSun" w:hAnsi="Calibri" w:cs="Arial"/>
          <w:b/>
          <w:bCs/>
          <w:noProof/>
        </w:rPr>
        <w:t>1</w:t>
      </w:r>
      <w:r w:rsidRPr="007D339C">
        <w:rPr>
          <w:rFonts w:ascii="Calibri" w:eastAsia="SimSun" w:hAnsi="Calibri" w:cs="Arial"/>
          <w:b/>
          <w:bCs/>
        </w:rPr>
        <w:t xml:space="preserve">: </w:t>
      </w:r>
      <w:r w:rsidRPr="00426586">
        <w:rPr>
          <w:b/>
        </w:rPr>
        <w:t>UE is not required to stay in the old TCI after slot n</w:t>
      </w:r>
      <w:r w:rsidRPr="00426586">
        <w:rPr>
          <w:rFonts w:eastAsia="Malgun Gothic"/>
          <w:b/>
        </w:rPr>
        <w:t>+</w:t>
      </w:r>
      <m:oMath>
        <m:r>
          <m:rPr>
            <m:sty m:val="p"/>
          </m:rPr>
          <w:rPr>
            <w:rFonts w:ascii="Cambria Math" w:hAnsi="Cambria Math" w:cs="SimSun"/>
          </w:rPr>
          <m:t xml:space="preserve"> </m:t>
        </m:r>
        <m:sSubSup>
          <m:sSubSupPr>
            <m:ctrlPr>
              <w:rPr>
                <w:rFonts w:ascii="Cambria Math" w:hAnsi="Cambria Math" w:cs="SimSun"/>
                <w: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26586">
        <w:rPr>
          <w:rFonts w:eastAsia="Malgun Gothic"/>
          <w:b/>
        </w:rPr>
        <w:t xml:space="preserve"> + (T</w:t>
      </w:r>
      <w:r w:rsidRPr="00426586">
        <w:rPr>
          <w:rFonts w:eastAsia="Malgun Gothic"/>
          <w:b/>
          <w:vertAlign w:val="subscript"/>
        </w:rPr>
        <w:t>HARQ</w:t>
      </w:r>
      <w:r w:rsidRPr="00426586">
        <w:rPr>
          <w:rFonts w:eastAsia="Malgun Gothic"/>
          <w:b/>
        </w:rPr>
        <w:t xml:space="preserve"> </w:t>
      </w:r>
      <w:r w:rsidRPr="00426586">
        <w:rPr>
          <w:b/>
        </w:rPr>
        <w:t xml:space="preserve">) / </w:t>
      </w:r>
      <w:r w:rsidRPr="00426586">
        <w:rPr>
          <w:b/>
          <w:i/>
        </w:rPr>
        <w:t>NR slot length</w:t>
      </w:r>
      <w:r>
        <w:rPr>
          <w:b/>
        </w:rPr>
        <w:t xml:space="preserve"> in R15.</w:t>
      </w:r>
      <w:r>
        <w:fldChar w:fldCharType="end"/>
      </w:r>
    </w:p>
    <w:p w:rsidR="001E18EE" w:rsidRDefault="001E18EE" w:rsidP="001E7AC0">
      <w:pPr>
        <w:adjustRightInd w:val="0"/>
        <w:snapToGrid w:val="0"/>
        <w:spacing w:before="180" w:after="120"/>
        <w:jc w:val="both"/>
      </w:pPr>
      <w:r>
        <w:fldChar w:fldCharType="begin"/>
      </w:r>
      <w:r>
        <w:instrText xml:space="preserve"> REF _Ref47622394 \h </w:instrText>
      </w:r>
      <w:r>
        <w:fldChar w:fldCharType="separate"/>
      </w:r>
      <w:r w:rsidRPr="007D339C">
        <w:rPr>
          <w:rFonts w:ascii="Calibri" w:eastAsia="SimSun" w:hAnsi="Calibri" w:cs="Arial"/>
          <w:b/>
          <w:bCs/>
        </w:rPr>
        <w:t xml:space="preserve">Observation </w:t>
      </w:r>
      <w:r>
        <w:rPr>
          <w:rFonts w:ascii="Calibri" w:eastAsia="SimSun" w:hAnsi="Calibri" w:cs="Arial"/>
          <w:b/>
          <w:bCs/>
          <w:noProof/>
        </w:rPr>
        <w:t>2</w:t>
      </w:r>
      <w:r w:rsidRPr="007D339C">
        <w:rPr>
          <w:rFonts w:ascii="Calibri" w:eastAsia="SimSun" w:hAnsi="Calibri" w:cs="Arial"/>
          <w:b/>
          <w:bCs/>
        </w:rPr>
        <w:t xml:space="preserve">: </w:t>
      </w:r>
      <w:r w:rsidRPr="003602A8">
        <w:rPr>
          <w:b/>
        </w:rPr>
        <w:t xml:space="preserve">UE applies the TCI activation command in the first slot that is after slot </w:t>
      </w:r>
      <w:r w:rsidRPr="003602A8">
        <w:rPr>
          <w:b/>
          <w:noProof/>
          <w:position w:val="-10"/>
          <w:lang w:eastAsia="zh-TW"/>
        </w:rPr>
        <w:drawing>
          <wp:inline distT="0" distB="0" distL="0" distR="0" wp14:anchorId="34A1159A" wp14:editId="22C6772F">
            <wp:extent cx="826770" cy="21717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770" cy="217170"/>
                    </a:xfrm>
                    <a:prstGeom prst="rect">
                      <a:avLst/>
                    </a:prstGeom>
                    <a:noFill/>
                    <a:ln>
                      <a:noFill/>
                    </a:ln>
                  </pic:spPr>
                </pic:pic>
              </a:graphicData>
            </a:graphic>
          </wp:inline>
        </w:drawing>
      </w:r>
      <w:r>
        <w:rPr>
          <w:b/>
        </w:rPr>
        <w:t>, in TS 38.213.</w:t>
      </w:r>
      <w:r>
        <w:fldChar w:fldCharType="end"/>
      </w:r>
    </w:p>
    <w:p w:rsidR="001E18EE" w:rsidRDefault="001E18EE" w:rsidP="001E7AC0">
      <w:pPr>
        <w:adjustRightInd w:val="0"/>
        <w:snapToGrid w:val="0"/>
        <w:spacing w:before="180" w:after="120"/>
        <w:jc w:val="both"/>
      </w:pPr>
      <w:r>
        <w:fldChar w:fldCharType="begin"/>
      </w:r>
      <w:r>
        <w:instrText xml:space="preserve"> REF _Ref47622396 \h </w:instrText>
      </w:r>
      <w:r>
        <w:fldChar w:fldCharType="separate"/>
      </w:r>
      <w:r w:rsidRPr="007D339C">
        <w:rPr>
          <w:rFonts w:ascii="Calibri" w:eastAsia="SimSun" w:hAnsi="Calibri" w:cs="Arial"/>
          <w:b/>
          <w:bCs/>
        </w:rPr>
        <w:t xml:space="preserve">Observation </w:t>
      </w:r>
      <w:r>
        <w:rPr>
          <w:rFonts w:ascii="Calibri" w:eastAsia="SimSun" w:hAnsi="Calibri" w:cs="Arial"/>
          <w:b/>
          <w:bCs/>
          <w:noProof/>
        </w:rPr>
        <w:t>3</w:t>
      </w:r>
      <w:r w:rsidRPr="007D339C">
        <w:rPr>
          <w:rFonts w:ascii="Calibri" w:eastAsia="SimSun" w:hAnsi="Calibri" w:cs="Arial"/>
          <w:b/>
          <w:bCs/>
        </w:rPr>
        <w:t xml:space="preserve">: </w:t>
      </w:r>
      <w:r w:rsidRPr="003602A8">
        <w:rPr>
          <w:b/>
        </w:rPr>
        <w:t xml:space="preserve">UE </w:t>
      </w:r>
      <w:r>
        <w:rPr>
          <w:b/>
        </w:rPr>
        <w:t xml:space="preserve">will apply new TCI for fine time sync and </w:t>
      </w:r>
      <w:r w:rsidRPr="00A47C11">
        <w:rPr>
          <w:rFonts w:eastAsia="MS Mincho" w:cs="Times New Roman"/>
          <w:b/>
          <w:lang w:eastAsia="en-US"/>
        </w:rPr>
        <w:t>may be able to received PDCCH with the new TCI, although the performance would be degraded due to the lack of SSB for fine time sync</w:t>
      </w:r>
      <w:r>
        <w:rPr>
          <w:b/>
        </w:rPr>
        <w:t>.</w:t>
      </w:r>
      <w:r>
        <w:fldChar w:fldCharType="end"/>
      </w:r>
    </w:p>
    <w:p w:rsidR="001E18EE" w:rsidRDefault="001E18EE" w:rsidP="001E7AC0">
      <w:pPr>
        <w:adjustRightInd w:val="0"/>
        <w:snapToGrid w:val="0"/>
        <w:spacing w:before="180" w:after="120"/>
        <w:jc w:val="both"/>
      </w:pPr>
      <w:r>
        <w:fldChar w:fldCharType="begin"/>
      </w:r>
      <w:r>
        <w:instrText xml:space="preserve"> REF _Ref47622368 \h </w:instrText>
      </w:r>
      <w:r>
        <w:fldChar w:fldCharType="separate"/>
      </w:r>
      <w:r w:rsidRPr="00E019A0">
        <w:rPr>
          <w:rFonts w:ascii="Calibri" w:eastAsia="SimSun" w:hAnsi="Calibri" w:cs="Arial"/>
          <w:b/>
          <w:bCs/>
        </w:rPr>
        <w:t xml:space="preserve">Proposal </w:t>
      </w:r>
      <w:r>
        <w:rPr>
          <w:rFonts w:ascii="Calibri" w:eastAsia="SimSun" w:hAnsi="Calibri" w:cs="Arial"/>
          <w:b/>
          <w:bCs/>
          <w:noProof/>
        </w:rPr>
        <w:t>3</w:t>
      </w:r>
      <w:r w:rsidRPr="00E019A0">
        <w:rPr>
          <w:rFonts w:ascii="Calibri" w:eastAsia="SimSun" w:hAnsi="Calibri" w:cs="Arial"/>
          <w:b/>
          <w:bCs/>
        </w:rPr>
        <w:t xml:space="preserve">: </w:t>
      </w:r>
      <w:r>
        <w:rPr>
          <w:b/>
        </w:rPr>
        <w:t xml:space="preserve">Since UE </w:t>
      </w:r>
      <w:r w:rsidRPr="00333F6A">
        <w:rPr>
          <w:b/>
        </w:rPr>
        <w:t>already</w:t>
      </w:r>
      <w:r>
        <w:rPr>
          <w:b/>
        </w:rPr>
        <w:t xml:space="preserve"> applies</w:t>
      </w:r>
      <w:r w:rsidRPr="00333F6A">
        <w:rPr>
          <w:b/>
        </w:rPr>
        <w:t xml:space="preserve"> the new TCI for fine time sync</w:t>
      </w:r>
      <w:r>
        <w:rPr>
          <w:b/>
        </w:rPr>
        <w:t>, UE shall not be forced to go back to the old TCI.</w:t>
      </w:r>
      <w:r>
        <w:fldChar w:fldCharType="end"/>
      </w:r>
    </w:p>
    <w:p w:rsidR="00667D08" w:rsidRDefault="00667D08" w:rsidP="001E7AC0">
      <w:pPr>
        <w:adjustRightInd w:val="0"/>
        <w:snapToGrid w:val="0"/>
        <w:spacing w:before="180" w:after="120"/>
        <w:jc w:val="both"/>
      </w:pPr>
      <w:r>
        <w:fldChar w:fldCharType="begin"/>
      </w:r>
      <w:r>
        <w:instrText xml:space="preserve"> REF _Ref47266262 \h </w:instrText>
      </w:r>
      <w:r>
        <w:fldChar w:fldCharType="separate"/>
      </w:r>
      <w:r w:rsidR="00825EAF" w:rsidRPr="00E019A0">
        <w:rPr>
          <w:rFonts w:ascii="Calibri" w:eastAsia="SimSun" w:hAnsi="Calibri" w:cs="Arial"/>
          <w:b/>
          <w:bCs/>
        </w:rPr>
        <w:t xml:space="preserve">Proposal </w:t>
      </w:r>
      <w:r w:rsidR="00825EAF">
        <w:rPr>
          <w:rFonts w:ascii="Calibri" w:eastAsia="SimSun" w:hAnsi="Calibri" w:cs="Arial"/>
          <w:b/>
          <w:bCs/>
          <w:noProof/>
        </w:rPr>
        <w:t>4</w:t>
      </w:r>
      <w:r w:rsidR="00825EAF" w:rsidRPr="00E019A0">
        <w:rPr>
          <w:rFonts w:ascii="Calibri" w:eastAsia="SimSun" w:hAnsi="Calibri" w:cs="Arial"/>
          <w:b/>
          <w:bCs/>
        </w:rPr>
        <w:t xml:space="preserve">: </w:t>
      </w:r>
      <w:r w:rsidR="00825EAF" w:rsidRPr="00244954">
        <w:rPr>
          <w:rFonts w:hint="eastAsia"/>
          <w:b/>
        </w:rPr>
        <w:t>U</w:t>
      </w:r>
      <w:r w:rsidR="00825EAF" w:rsidRPr="00244954">
        <w:rPr>
          <w:b/>
        </w:rPr>
        <w:t xml:space="preserve">E </w:t>
      </w:r>
      <w:r w:rsidR="00825EAF">
        <w:rPr>
          <w:b/>
        </w:rPr>
        <w:t>may apply new</w:t>
      </w:r>
      <w:r w:rsidR="00825EAF" w:rsidRPr="00244954">
        <w:rPr>
          <w:b/>
        </w:rPr>
        <w:t xml:space="preserve"> TCI state </w:t>
      </w:r>
      <w:r w:rsidR="00825EAF">
        <w:rPr>
          <w:b/>
        </w:rPr>
        <w:t>with degraded performance</w:t>
      </w:r>
      <w:r w:rsidR="00825EAF" w:rsidRPr="00244954">
        <w:rPr>
          <w:b/>
        </w:rPr>
        <w:t xml:space="preserve"> upon</w:t>
      </w:r>
      <w:r w:rsidR="00825EAF">
        <w:rPr>
          <w:b/>
        </w:rPr>
        <w:t xml:space="preserve"> </w:t>
      </w:r>
      <w:r w:rsidR="00825EAF" w:rsidRPr="00486828">
        <w:rPr>
          <w:b/>
          <w:lang w:val="x-none"/>
        </w:rPr>
        <w:t>L</w:t>
      </w:r>
      <w:r w:rsidR="00825EAF" w:rsidRPr="00486828">
        <w:rPr>
          <w:b/>
          <w:vertAlign w:val="subscript"/>
          <w:lang w:val="x-none"/>
        </w:rPr>
        <w:t>MAC,known</w:t>
      </w:r>
      <w:r w:rsidR="00825EAF">
        <w:rPr>
          <w:b/>
          <w:vertAlign w:val="subscript"/>
          <w:lang w:val="x-none"/>
        </w:rPr>
        <w:t xml:space="preserve"> </w:t>
      </w:r>
      <w:r w:rsidR="00825EAF" w:rsidRPr="00244954">
        <w:rPr>
          <w:rFonts w:eastAsia="Malgun Gothic"/>
          <w:b/>
        </w:rPr>
        <w:t>exceeding</w:t>
      </w:r>
      <w:r w:rsidR="00825EAF" w:rsidRPr="00244954">
        <w:rPr>
          <w:b/>
        </w:rPr>
        <w:t xml:space="preserve"> </w:t>
      </w:r>
      <w:r w:rsidR="00825EAF" w:rsidRPr="00486828">
        <w:rPr>
          <w:b/>
          <w:lang w:val="x-none"/>
        </w:rPr>
        <w:t>L</w:t>
      </w:r>
      <w:r w:rsidR="00825EAF" w:rsidRPr="00486828">
        <w:rPr>
          <w:b/>
          <w:vertAlign w:val="subscript"/>
          <w:lang w:val="x-none"/>
        </w:rPr>
        <w:t>MAC,known</w:t>
      </w:r>
      <w:r w:rsidR="00825EAF">
        <w:rPr>
          <w:b/>
          <w:vertAlign w:val="subscript"/>
          <w:lang w:val="x-none"/>
        </w:rPr>
        <w:t xml:space="preserve">,max </w:t>
      </w:r>
      <w:r w:rsidR="00825EAF">
        <w:rPr>
          <w:b/>
        </w:rPr>
        <w:t xml:space="preserve">or </w:t>
      </w:r>
      <w:r w:rsidR="00825EAF" w:rsidRPr="00244954">
        <w:rPr>
          <w:b/>
        </w:rPr>
        <w:t>L2</w:t>
      </w:r>
      <w:r w:rsidR="00825EAF" w:rsidRPr="00244954">
        <w:rPr>
          <w:b/>
          <w:vertAlign w:val="subscript"/>
        </w:rPr>
        <w:t>MAC,unknown</w:t>
      </w:r>
      <w:r w:rsidR="00825EAF" w:rsidRPr="00244954">
        <w:rPr>
          <w:rFonts w:eastAsia="Malgun Gothic"/>
          <w:b/>
          <w:vertAlign w:val="subscript"/>
        </w:rPr>
        <w:t xml:space="preserve"> </w:t>
      </w:r>
      <w:r w:rsidR="00825EAF" w:rsidRPr="00244954">
        <w:rPr>
          <w:rFonts w:eastAsia="Malgun Gothic"/>
          <w:b/>
        </w:rPr>
        <w:t xml:space="preserve">exceeding </w:t>
      </w:r>
      <w:r w:rsidR="00825EAF" w:rsidRPr="00244954">
        <w:rPr>
          <w:b/>
        </w:rPr>
        <w:t>L2</w:t>
      </w:r>
      <w:r w:rsidR="00825EAF" w:rsidRPr="00244954">
        <w:rPr>
          <w:b/>
          <w:vertAlign w:val="subscript"/>
        </w:rPr>
        <w:t>MAC,unknown,max.</w:t>
      </w:r>
      <w:r>
        <w:fldChar w:fldCharType="end"/>
      </w:r>
    </w:p>
    <w:p w:rsidR="00667D08" w:rsidRDefault="00667D08" w:rsidP="001E7AC0">
      <w:pPr>
        <w:adjustRightInd w:val="0"/>
        <w:snapToGrid w:val="0"/>
        <w:spacing w:before="180" w:after="120"/>
        <w:jc w:val="both"/>
      </w:pPr>
      <w:r>
        <w:fldChar w:fldCharType="begin"/>
      </w:r>
      <w:r>
        <w:instrText xml:space="preserve"> REF _Ref47266265 \h </w:instrText>
      </w:r>
      <w:r>
        <w:fldChar w:fldCharType="separate"/>
      </w:r>
      <w:r w:rsidR="00825EAF" w:rsidRPr="00E019A0">
        <w:rPr>
          <w:rFonts w:ascii="Calibri" w:eastAsia="SimSun" w:hAnsi="Calibri" w:cs="Arial"/>
          <w:b/>
          <w:bCs/>
        </w:rPr>
        <w:t xml:space="preserve">Proposal </w:t>
      </w:r>
      <w:r w:rsidR="00825EAF">
        <w:rPr>
          <w:rFonts w:ascii="Calibri" w:eastAsia="SimSun" w:hAnsi="Calibri" w:cs="Arial"/>
          <w:b/>
          <w:bCs/>
          <w:noProof/>
        </w:rPr>
        <w:t>5</w:t>
      </w:r>
      <w:r w:rsidR="00825EAF" w:rsidRPr="00E019A0">
        <w:rPr>
          <w:rFonts w:ascii="Calibri" w:eastAsia="SimSun" w:hAnsi="Calibri" w:cs="Arial"/>
          <w:b/>
          <w:bCs/>
        </w:rPr>
        <w:t xml:space="preserve">: </w:t>
      </w:r>
      <w:r w:rsidR="00825EAF">
        <w:rPr>
          <w:rFonts w:ascii="Calibri" w:eastAsia="SimSun" w:hAnsi="Calibri" w:cs="Arial"/>
          <w:b/>
          <w:bCs/>
        </w:rPr>
        <w:t xml:space="preserve">No need to specify the </w:t>
      </w:r>
      <w:r w:rsidR="00825EAF" w:rsidRPr="00244954">
        <w:rPr>
          <w:rFonts w:hint="eastAsia"/>
          <w:b/>
        </w:rPr>
        <w:t>U</w:t>
      </w:r>
      <w:r w:rsidR="00825EAF" w:rsidRPr="00244954">
        <w:rPr>
          <w:b/>
        </w:rPr>
        <w:t xml:space="preserve">E </w:t>
      </w:r>
      <w:r w:rsidR="00825EAF">
        <w:rPr>
          <w:b/>
        </w:rPr>
        <w:t>behavior</w:t>
      </w:r>
      <w:r w:rsidR="00825EAF" w:rsidRPr="00244954">
        <w:rPr>
          <w:b/>
        </w:rPr>
        <w:t xml:space="preserve"> upon L2</w:t>
      </w:r>
      <w:r w:rsidR="00825EAF">
        <w:rPr>
          <w:b/>
          <w:vertAlign w:val="subscript"/>
        </w:rPr>
        <w:t>RRC</w:t>
      </w:r>
      <w:r w:rsidR="00825EAF" w:rsidRPr="00244954">
        <w:rPr>
          <w:b/>
          <w:vertAlign w:val="subscript"/>
        </w:rPr>
        <w:t>,unknown</w:t>
      </w:r>
      <w:r w:rsidR="00825EAF" w:rsidRPr="00244954">
        <w:rPr>
          <w:rFonts w:eastAsia="Malgun Gothic"/>
          <w:b/>
          <w:vertAlign w:val="subscript"/>
        </w:rPr>
        <w:t xml:space="preserve"> </w:t>
      </w:r>
      <w:r w:rsidR="00825EAF" w:rsidRPr="00244954">
        <w:rPr>
          <w:rFonts w:eastAsia="Malgun Gothic"/>
          <w:b/>
        </w:rPr>
        <w:t xml:space="preserve">exceeding </w:t>
      </w:r>
      <w:r w:rsidR="00825EAF" w:rsidRPr="00244954">
        <w:rPr>
          <w:b/>
        </w:rPr>
        <w:t>L2</w:t>
      </w:r>
      <w:r w:rsidR="00825EAF">
        <w:rPr>
          <w:b/>
          <w:vertAlign w:val="subscript"/>
        </w:rPr>
        <w:t>RRC</w:t>
      </w:r>
      <w:r w:rsidR="00825EAF" w:rsidRPr="00244954">
        <w:rPr>
          <w:b/>
          <w:vertAlign w:val="subscript"/>
        </w:rPr>
        <w:t>,unknown,max</w:t>
      </w:r>
      <w:r w:rsidR="00825EAF">
        <w:rPr>
          <w:rFonts w:eastAsia="Malgun Gothic"/>
          <w:b/>
        </w:rPr>
        <w:t>.</w:t>
      </w:r>
      <w: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D36E61" w:rsidRDefault="00B5473B" w:rsidP="00D36E61">
      <w:pPr>
        <w:rPr>
          <w:lang w:val="en-GB"/>
        </w:rPr>
      </w:pPr>
      <w:r w:rsidRPr="005470E7">
        <w:rPr>
          <w:lang w:val="en-GB"/>
        </w:rPr>
        <w:t>[1</w:t>
      </w:r>
      <w:r w:rsidRPr="000D44EB">
        <w:t xml:space="preserve">] </w:t>
      </w:r>
      <w:r w:rsidR="00A10753" w:rsidRPr="00A10753">
        <w:rPr>
          <w:lang w:val="en-GB"/>
        </w:rPr>
        <w:t>R4-2005365, LS reply to RAN4 on UE declaring beam failure due to LBT failures during active TCI switching, Ericsson</w:t>
      </w:r>
      <w:r w:rsidR="00A10753">
        <w:rPr>
          <w:lang w:val="en-GB"/>
        </w:rPr>
        <w:t>.</w:t>
      </w:r>
    </w:p>
    <w:p w:rsidR="004E2CA3" w:rsidRPr="00131490" w:rsidRDefault="00114869" w:rsidP="00703064">
      <w:r>
        <w:rPr>
          <w:lang w:val="en-GB"/>
        </w:rPr>
        <w:t xml:space="preserve">[2] </w:t>
      </w:r>
      <w:r w:rsidR="006B20E9">
        <w:rPr>
          <w:lang w:val="en-GB"/>
        </w:rPr>
        <w:t>TS 38.213, g20.</w:t>
      </w:r>
    </w:p>
    <w:sectPr w:rsidR="004E2CA3" w:rsidRPr="0013149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F08" w:rsidRDefault="00826F08">
      <w:r>
        <w:separator/>
      </w:r>
    </w:p>
  </w:endnote>
  <w:endnote w:type="continuationSeparator" w:id="0">
    <w:p w:rsidR="00826F08" w:rsidRDefault="0082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F08" w:rsidRDefault="00826F08">
      <w:r>
        <w:separator/>
      </w:r>
    </w:p>
  </w:footnote>
  <w:footnote w:type="continuationSeparator" w:id="0">
    <w:p w:rsidR="00826F08" w:rsidRDefault="00826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829"/>
    <w:multiLevelType w:val="hybridMultilevel"/>
    <w:tmpl w:val="8CE81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102ED9"/>
    <w:multiLevelType w:val="hybridMultilevel"/>
    <w:tmpl w:val="EB7211D8"/>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4" w15:restartNumberingAfterBreak="0">
    <w:nsid w:val="17E3069C"/>
    <w:multiLevelType w:val="hybridMultilevel"/>
    <w:tmpl w:val="601A5382"/>
    <w:lvl w:ilvl="0" w:tplc="09F0AD04">
      <w:start w:val="1"/>
      <w:numFmt w:val="bullet"/>
      <w:lvlText w:val="•"/>
      <w:lvlJc w:val="left"/>
      <w:pPr>
        <w:tabs>
          <w:tab w:val="num" w:pos="720"/>
        </w:tabs>
        <w:ind w:left="720" w:hanging="360"/>
      </w:pPr>
      <w:rPr>
        <w:rFonts w:ascii="Arial" w:hAnsi="Arial" w:hint="default"/>
      </w:rPr>
    </w:lvl>
    <w:lvl w:ilvl="1" w:tplc="FCAAA854" w:tentative="1">
      <w:start w:val="1"/>
      <w:numFmt w:val="bullet"/>
      <w:lvlText w:val="•"/>
      <w:lvlJc w:val="left"/>
      <w:pPr>
        <w:tabs>
          <w:tab w:val="num" w:pos="1440"/>
        </w:tabs>
        <w:ind w:left="1440" w:hanging="360"/>
      </w:pPr>
      <w:rPr>
        <w:rFonts w:ascii="Arial" w:hAnsi="Arial" w:hint="default"/>
      </w:rPr>
    </w:lvl>
    <w:lvl w:ilvl="2" w:tplc="0CCAF4AC" w:tentative="1">
      <w:start w:val="1"/>
      <w:numFmt w:val="bullet"/>
      <w:lvlText w:val="•"/>
      <w:lvlJc w:val="left"/>
      <w:pPr>
        <w:tabs>
          <w:tab w:val="num" w:pos="2160"/>
        </w:tabs>
        <w:ind w:left="2160" w:hanging="360"/>
      </w:pPr>
      <w:rPr>
        <w:rFonts w:ascii="Arial" w:hAnsi="Arial" w:hint="default"/>
      </w:rPr>
    </w:lvl>
    <w:lvl w:ilvl="3" w:tplc="044EA17A" w:tentative="1">
      <w:start w:val="1"/>
      <w:numFmt w:val="bullet"/>
      <w:lvlText w:val="•"/>
      <w:lvlJc w:val="left"/>
      <w:pPr>
        <w:tabs>
          <w:tab w:val="num" w:pos="2880"/>
        </w:tabs>
        <w:ind w:left="2880" w:hanging="360"/>
      </w:pPr>
      <w:rPr>
        <w:rFonts w:ascii="Arial" w:hAnsi="Arial" w:hint="default"/>
      </w:rPr>
    </w:lvl>
    <w:lvl w:ilvl="4" w:tplc="67A6DDAC" w:tentative="1">
      <w:start w:val="1"/>
      <w:numFmt w:val="bullet"/>
      <w:lvlText w:val="•"/>
      <w:lvlJc w:val="left"/>
      <w:pPr>
        <w:tabs>
          <w:tab w:val="num" w:pos="3600"/>
        </w:tabs>
        <w:ind w:left="3600" w:hanging="360"/>
      </w:pPr>
      <w:rPr>
        <w:rFonts w:ascii="Arial" w:hAnsi="Arial" w:hint="default"/>
      </w:rPr>
    </w:lvl>
    <w:lvl w:ilvl="5" w:tplc="BBA644DE" w:tentative="1">
      <w:start w:val="1"/>
      <w:numFmt w:val="bullet"/>
      <w:lvlText w:val="•"/>
      <w:lvlJc w:val="left"/>
      <w:pPr>
        <w:tabs>
          <w:tab w:val="num" w:pos="4320"/>
        </w:tabs>
        <w:ind w:left="4320" w:hanging="360"/>
      </w:pPr>
      <w:rPr>
        <w:rFonts w:ascii="Arial" w:hAnsi="Arial" w:hint="default"/>
      </w:rPr>
    </w:lvl>
    <w:lvl w:ilvl="6" w:tplc="77300064" w:tentative="1">
      <w:start w:val="1"/>
      <w:numFmt w:val="bullet"/>
      <w:lvlText w:val="•"/>
      <w:lvlJc w:val="left"/>
      <w:pPr>
        <w:tabs>
          <w:tab w:val="num" w:pos="5040"/>
        </w:tabs>
        <w:ind w:left="5040" w:hanging="360"/>
      </w:pPr>
      <w:rPr>
        <w:rFonts w:ascii="Arial" w:hAnsi="Arial" w:hint="default"/>
      </w:rPr>
    </w:lvl>
    <w:lvl w:ilvl="7" w:tplc="419ED7E8" w:tentative="1">
      <w:start w:val="1"/>
      <w:numFmt w:val="bullet"/>
      <w:lvlText w:val="•"/>
      <w:lvlJc w:val="left"/>
      <w:pPr>
        <w:tabs>
          <w:tab w:val="num" w:pos="5760"/>
        </w:tabs>
        <w:ind w:left="5760" w:hanging="360"/>
      </w:pPr>
      <w:rPr>
        <w:rFonts w:ascii="Arial" w:hAnsi="Arial" w:hint="default"/>
      </w:rPr>
    </w:lvl>
    <w:lvl w:ilvl="8" w:tplc="706A23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335908"/>
    <w:multiLevelType w:val="hybridMultilevel"/>
    <w:tmpl w:val="B226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7" w15:restartNumberingAfterBreak="0">
    <w:nsid w:val="2EDD0024"/>
    <w:multiLevelType w:val="hybridMultilevel"/>
    <w:tmpl w:val="0FD6F6B8"/>
    <w:lvl w:ilvl="0" w:tplc="7422DE32">
      <w:start w:val="1"/>
      <w:numFmt w:val="bullet"/>
      <w:lvlText w:val="•"/>
      <w:lvlJc w:val="left"/>
      <w:pPr>
        <w:tabs>
          <w:tab w:val="num" w:pos="360"/>
        </w:tabs>
        <w:ind w:left="360" w:hanging="360"/>
      </w:pPr>
      <w:rPr>
        <w:rFonts w:ascii="Arial" w:hAnsi="Arial" w:hint="default"/>
      </w:rPr>
    </w:lvl>
    <w:lvl w:ilvl="1" w:tplc="B04CD496">
      <w:start w:val="93"/>
      <w:numFmt w:val="bullet"/>
      <w:lvlText w:val="•"/>
      <w:lvlJc w:val="left"/>
      <w:pPr>
        <w:tabs>
          <w:tab w:val="num" w:pos="1080"/>
        </w:tabs>
        <w:ind w:left="1080" w:hanging="360"/>
      </w:pPr>
      <w:rPr>
        <w:rFonts w:ascii="Arial" w:hAnsi="Arial" w:hint="default"/>
      </w:rPr>
    </w:lvl>
    <w:lvl w:ilvl="2" w:tplc="1F8208F0" w:tentative="1">
      <w:start w:val="1"/>
      <w:numFmt w:val="bullet"/>
      <w:lvlText w:val="•"/>
      <w:lvlJc w:val="left"/>
      <w:pPr>
        <w:tabs>
          <w:tab w:val="num" w:pos="1800"/>
        </w:tabs>
        <w:ind w:left="1800" w:hanging="360"/>
      </w:pPr>
      <w:rPr>
        <w:rFonts w:ascii="Arial" w:hAnsi="Arial" w:hint="default"/>
      </w:rPr>
    </w:lvl>
    <w:lvl w:ilvl="3" w:tplc="3DD2EC84" w:tentative="1">
      <w:start w:val="1"/>
      <w:numFmt w:val="bullet"/>
      <w:lvlText w:val="•"/>
      <w:lvlJc w:val="left"/>
      <w:pPr>
        <w:tabs>
          <w:tab w:val="num" w:pos="2520"/>
        </w:tabs>
        <w:ind w:left="2520" w:hanging="360"/>
      </w:pPr>
      <w:rPr>
        <w:rFonts w:ascii="Arial" w:hAnsi="Arial" w:hint="default"/>
      </w:rPr>
    </w:lvl>
    <w:lvl w:ilvl="4" w:tplc="0A86FCFC" w:tentative="1">
      <w:start w:val="1"/>
      <w:numFmt w:val="bullet"/>
      <w:lvlText w:val="•"/>
      <w:lvlJc w:val="left"/>
      <w:pPr>
        <w:tabs>
          <w:tab w:val="num" w:pos="3240"/>
        </w:tabs>
        <w:ind w:left="3240" w:hanging="360"/>
      </w:pPr>
      <w:rPr>
        <w:rFonts w:ascii="Arial" w:hAnsi="Arial" w:hint="default"/>
      </w:rPr>
    </w:lvl>
    <w:lvl w:ilvl="5" w:tplc="0218906C" w:tentative="1">
      <w:start w:val="1"/>
      <w:numFmt w:val="bullet"/>
      <w:lvlText w:val="•"/>
      <w:lvlJc w:val="left"/>
      <w:pPr>
        <w:tabs>
          <w:tab w:val="num" w:pos="3960"/>
        </w:tabs>
        <w:ind w:left="3960" w:hanging="360"/>
      </w:pPr>
      <w:rPr>
        <w:rFonts w:ascii="Arial" w:hAnsi="Arial" w:hint="default"/>
      </w:rPr>
    </w:lvl>
    <w:lvl w:ilvl="6" w:tplc="EA1CDFD0" w:tentative="1">
      <w:start w:val="1"/>
      <w:numFmt w:val="bullet"/>
      <w:lvlText w:val="•"/>
      <w:lvlJc w:val="left"/>
      <w:pPr>
        <w:tabs>
          <w:tab w:val="num" w:pos="4680"/>
        </w:tabs>
        <w:ind w:left="4680" w:hanging="360"/>
      </w:pPr>
      <w:rPr>
        <w:rFonts w:ascii="Arial" w:hAnsi="Arial" w:hint="default"/>
      </w:rPr>
    </w:lvl>
    <w:lvl w:ilvl="7" w:tplc="B4746358" w:tentative="1">
      <w:start w:val="1"/>
      <w:numFmt w:val="bullet"/>
      <w:lvlText w:val="•"/>
      <w:lvlJc w:val="left"/>
      <w:pPr>
        <w:tabs>
          <w:tab w:val="num" w:pos="5400"/>
        </w:tabs>
        <w:ind w:left="5400" w:hanging="360"/>
      </w:pPr>
      <w:rPr>
        <w:rFonts w:ascii="Arial" w:hAnsi="Arial" w:hint="default"/>
      </w:rPr>
    </w:lvl>
    <w:lvl w:ilvl="8" w:tplc="930CB17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F853F64"/>
    <w:multiLevelType w:val="hybridMultilevel"/>
    <w:tmpl w:val="36641C2C"/>
    <w:lvl w:ilvl="0" w:tplc="4C585770">
      <w:start w:val="1"/>
      <w:numFmt w:val="bullet"/>
      <w:lvlText w:val="•"/>
      <w:lvlJc w:val="left"/>
      <w:pPr>
        <w:tabs>
          <w:tab w:val="num" w:pos="360"/>
        </w:tabs>
        <w:ind w:left="360" w:hanging="360"/>
      </w:pPr>
      <w:rPr>
        <w:rFonts w:ascii="Arial" w:hAnsi="Arial" w:hint="default"/>
      </w:rPr>
    </w:lvl>
    <w:lvl w:ilvl="1" w:tplc="CE8C5B5C">
      <w:start w:val="93"/>
      <w:numFmt w:val="bullet"/>
      <w:lvlText w:val="•"/>
      <w:lvlJc w:val="left"/>
      <w:pPr>
        <w:tabs>
          <w:tab w:val="num" w:pos="1080"/>
        </w:tabs>
        <w:ind w:left="1080" w:hanging="360"/>
      </w:pPr>
      <w:rPr>
        <w:rFonts w:ascii="Arial" w:hAnsi="Arial" w:hint="default"/>
      </w:rPr>
    </w:lvl>
    <w:lvl w:ilvl="2" w:tplc="4D449196" w:tentative="1">
      <w:start w:val="1"/>
      <w:numFmt w:val="bullet"/>
      <w:lvlText w:val="•"/>
      <w:lvlJc w:val="left"/>
      <w:pPr>
        <w:tabs>
          <w:tab w:val="num" w:pos="1800"/>
        </w:tabs>
        <w:ind w:left="1800" w:hanging="360"/>
      </w:pPr>
      <w:rPr>
        <w:rFonts w:ascii="Arial" w:hAnsi="Arial" w:hint="default"/>
      </w:rPr>
    </w:lvl>
    <w:lvl w:ilvl="3" w:tplc="D28CCCA4" w:tentative="1">
      <w:start w:val="1"/>
      <w:numFmt w:val="bullet"/>
      <w:lvlText w:val="•"/>
      <w:lvlJc w:val="left"/>
      <w:pPr>
        <w:tabs>
          <w:tab w:val="num" w:pos="2520"/>
        </w:tabs>
        <w:ind w:left="2520" w:hanging="360"/>
      </w:pPr>
      <w:rPr>
        <w:rFonts w:ascii="Arial" w:hAnsi="Arial" w:hint="default"/>
      </w:rPr>
    </w:lvl>
    <w:lvl w:ilvl="4" w:tplc="28D851F4" w:tentative="1">
      <w:start w:val="1"/>
      <w:numFmt w:val="bullet"/>
      <w:lvlText w:val="•"/>
      <w:lvlJc w:val="left"/>
      <w:pPr>
        <w:tabs>
          <w:tab w:val="num" w:pos="3240"/>
        </w:tabs>
        <w:ind w:left="3240" w:hanging="360"/>
      </w:pPr>
      <w:rPr>
        <w:rFonts w:ascii="Arial" w:hAnsi="Arial" w:hint="default"/>
      </w:rPr>
    </w:lvl>
    <w:lvl w:ilvl="5" w:tplc="82C65456" w:tentative="1">
      <w:start w:val="1"/>
      <w:numFmt w:val="bullet"/>
      <w:lvlText w:val="•"/>
      <w:lvlJc w:val="left"/>
      <w:pPr>
        <w:tabs>
          <w:tab w:val="num" w:pos="3960"/>
        </w:tabs>
        <w:ind w:left="3960" w:hanging="360"/>
      </w:pPr>
      <w:rPr>
        <w:rFonts w:ascii="Arial" w:hAnsi="Arial" w:hint="default"/>
      </w:rPr>
    </w:lvl>
    <w:lvl w:ilvl="6" w:tplc="E4808FF8" w:tentative="1">
      <w:start w:val="1"/>
      <w:numFmt w:val="bullet"/>
      <w:lvlText w:val="•"/>
      <w:lvlJc w:val="left"/>
      <w:pPr>
        <w:tabs>
          <w:tab w:val="num" w:pos="4680"/>
        </w:tabs>
        <w:ind w:left="4680" w:hanging="360"/>
      </w:pPr>
      <w:rPr>
        <w:rFonts w:ascii="Arial" w:hAnsi="Arial" w:hint="default"/>
      </w:rPr>
    </w:lvl>
    <w:lvl w:ilvl="7" w:tplc="8F32D3FE" w:tentative="1">
      <w:start w:val="1"/>
      <w:numFmt w:val="bullet"/>
      <w:lvlText w:val="•"/>
      <w:lvlJc w:val="left"/>
      <w:pPr>
        <w:tabs>
          <w:tab w:val="num" w:pos="5400"/>
        </w:tabs>
        <w:ind w:left="5400" w:hanging="360"/>
      </w:pPr>
      <w:rPr>
        <w:rFonts w:ascii="Arial" w:hAnsi="Arial" w:hint="default"/>
      </w:rPr>
    </w:lvl>
    <w:lvl w:ilvl="8" w:tplc="373AF59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332102"/>
    <w:multiLevelType w:val="hybridMultilevel"/>
    <w:tmpl w:val="E88E2282"/>
    <w:lvl w:ilvl="0" w:tplc="3D380B98">
      <w:start w:val="1"/>
      <w:numFmt w:val="bullet"/>
      <w:lvlText w:val="•"/>
      <w:lvlJc w:val="left"/>
      <w:pPr>
        <w:tabs>
          <w:tab w:val="num" w:pos="720"/>
        </w:tabs>
        <w:ind w:left="720" w:hanging="360"/>
      </w:pPr>
      <w:rPr>
        <w:rFonts w:ascii="Arial" w:hAnsi="Arial" w:hint="default"/>
      </w:rPr>
    </w:lvl>
    <w:lvl w:ilvl="1" w:tplc="1216405E">
      <w:start w:val="1"/>
      <w:numFmt w:val="bullet"/>
      <w:lvlText w:val="•"/>
      <w:lvlJc w:val="left"/>
      <w:pPr>
        <w:tabs>
          <w:tab w:val="num" w:pos="1440"/>
        </w:tabs>
        <w:ind w:left="1440" w:hanging="360"/>
      </w:pPr>
      <w:rPr>
        <w:rFonts w:ascii="Arial" w:hAnsi="Arial" w:hint="default"/>
      </w:rPr>
    </w:lvl>
    <w:lvl w:ilvl="2" w:tplc="DDDE11C8" w:tentative="1">
      <w:start w:val="1"/>
      <w:numFmt w:val="bullet"/>
      <w:lvlText w:val="•"/>
      <w:lvlJc w:val="left"/>
      <w:pPr>
        <w:tabs>
          <w:tab w:val="num" w:pos="2160"/>
        </w:tabs>
        <w:ind w:left="2160" w:hanging="360"/>
      </w:pPr>
      <w:rPr>
        <w:rFonts w:ascii="Arial" w:hAnsi="Arial" w:hint="default"/>
      </w:rPr>
    </w:lvl>
    <w:lvl w:ilvl="3" w:tplc="793EDBF4" w:tentative="1">
      <w:start w:val="1"/>
      <w:numFmt w:val="bullet"/>
      <w:lvlText w:val="•"/>
      <w:lvlJc w:val="left"/>
      <w:pPr>
        <w:tabs>
          <w:tab w:val="num" w:pos="2880"/>
        </w:tabs>
        <w:ind w:left="2880" w:hanging="360"/>
      </w:pPr>
      <w:rPr>
        <w:rFonts w:ascii="Arial" w:hAnsi="Arial" w:hint="default"/>
      </w:rPr>
    </w:lvl>
    <w:lvl w:ilvl="4" w:tplc="9B22F114" w:tentative="1">
      <w:start w:val="1"/>
      <w:numFmt w:val="bullet"/>
      <w:lvlText w:val="•"/>
      <w:lvlJc w:val="left"/>
      <w:pPr>
        <w:tabs>
          <w:tab w:val="num" w:pos="3600"/>
        </w:tabs>
        <w:ind w:left="3600" w:hanging="360"/>
      </w:pPr>
      <w:rPr>
        <w:rFonts w:ascii="Arial" w:hAnsi="Arial" w:hint="default"/>
      </w:rPr>
    </w:lvl>
    <w:lvl w:ilvl="5" w:tplc="4422205C" w:tentative="1">
      <w:start w:val="1"/>
      <w:numFmt w:val="bullet"/>
      <w:lvlText w:val="•"/>
      <w:lvlJc w:val="left"/>
      <w:pPr>
        <w:tabs>
          <w:tab w:val="num" w:pos="4320"/>
        </w:tabs>
        <w:ind w:left="4320" w:hanging="360"/>
      </w:pPr>
      <w:rPr>
        <w:rFonts w:ascii="Arial" w:hAnsi="Arial" w:hint="default"/>
      </w:rPr>
    </w:lvl>
    <w:lvl w:ilvl="6" w:tplc="C8667A40" w:tentative="1">
      <w:start w:val="1"/>
      <w:numFmt w:val="bullet"/>
      <w:lvlText w:val="•"/>
      <w:lvlJc w:val="left"/>
      <w:pPr>
        <w:tabs>
          <w:tab w:val="num" w:pos="5040"/>
        </w:tabs>
        <w:ind w:left="5040" w:hanging="360"/>
      </w:pPr>
      <w:rPr>
        <w:rFonts w:ascii="Arial" w:hAnsi="Arial" w:hint="default"/>
      </w:rPr>
    </w:lvl>
    <w:lvl w:ilvl="7" w:tplc="8F70240E" w:tentative="1">
      <w:start w:val="1"/>
      <w:numFmt w:val="bullet"/>
      <w:lvlText w:val="•"/>
      <w:lvlJc w:val="left"/>
      <w:pPr>
        <w:tabs>
          <w:tab w:val="num" w:pos="5760"/>
        </w:tabs>
        <w:ind w:left="5760" w:hanging="360"/>
      </w:pPr>
      <w:rPr>
        <w:rFonts w:ascii="Arial" w:hAnsi="Arial" w:hint="default"/>
      </w:rPr>
    </w:lvl>
    <w:lvl w:ilvl="8" w:tplc="89B8C3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513BA"/>
    <w:multiLevelType w:val="multilevel"/>
    <w:tmpl w:val="FF4A7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604ED2"/>
    <w:multiLevelType w:val="hybridMultilevel"/>
    <w:tmpl w:val="3C48FF72"/>
    <w:lvl w:ilvl="0" w:tplc="493E2A1C">
      <w:start w:val="1"/>
      <w:numFmt w:val="bullet"/>
      <w:lvlText w:val="•"/>
      <w:lvlJc w:val="left"/>
      <w:pPr>
        <w:tabs>
          <w:tab w:val="num" w:pos="720"/>
        </w:tabs>
        <w:ind w:left="720" w:hanging="360"/>
      </w:pPr>
      <w:rPr>
        <w:rFonts w:ascii="Arial" w:hAnsi="Arial" w:hint="default"/>
      </w:rPr>
    </w:lvl>
    <w:lvl w:ilvl="1" w:tplc="D5222290" w:tentative="1">
      <w:start w:val="1"/>
      <w:numFmt w:val="bullet"/>
      <w:lvlText w:val="•"/>
      <w:lvlJc w:val="left"/>
      <w:pPr>
        <w:tabs>
          <w:tab w:val="num" w:pos="1440"/>
        </w:tabs>
        <w:ind w:left="1440" w:hanging="360"/>
      </w:pPr>
      <w:rPr>
        <w:rFonts w:ascii="Arial" w:hAnsi="Arial" w:hint="default"/>
      </w:rPr>
    </w:lvl>
    <w:lvl w:ilvl="2" w:tplc="77E295CA" w:tentative="1">
      <w:start w:val="1"/>
      <w:numFmt w:val="bullet"/>
      <w:lvlText w:val="•"/>
      <w:lvlJc w:val="left"/>
      <w:pPr>
        <w:tabs>
          <w:tab w:val="num" w:pos="2160"/>
        </w:tabs>
        <w:ind w:left="2160" w:hanging="360"/>
      </w:pPr>
      <w:rPr>
        <w:rFonts w:ascii="Arial" w:hAnsi="Arial" w:hint="default"/>
      </w:rPr>
    </w:lvl>
    <w:lvl w:ilvl="3" w:tplc="F2180ADA" w:tentative="1">
      <w:start w:val="1"/>
      <w:numFmt w:val="bullet"/>
      <w:lvlText w:val="•"/>
      <w:lvlJc w:val="left"/>
      <w:pPr>
        <w:tabs>
          <w:tab w:val="num" w:pos="2880"/>
        </w:tabs>
        <w:ind w:left="2880" w:hanging="360"/>
      </w:pPr>
      <w:rPr>
        <w:rFonts w:ascii="Arial" w:hAnsi="Arial" w:hint="default"/>
      </w:rPr>
    </w:lvl>
    <w:lvl w:ilvl="4" w:tplc="B7E8C078" w:tentative="1">
      <w:start w:val="1"/>
      <w:numFmt w:val="bullet"/>
      <w:lvlText w:val="•"/>
      <w:lvlJc w:val="left"/>
      <w:pPr>
        <w:tabs>
          <w:tab w:val="num" w:pos="3600"/>
        </w:tabs>
        <w:ind w:left="3600" w:hanging="360"/>
      </w:pPr>
      <w:rPr>
        <w:rFonts w:ascii="Arial" w:hAnsi="Arial" w:hint="default"/>
      </w:rPr>
    </w:lvl>
    <w:lvl w:ilvl="5" w:tplc="43E05F8A" w:tentative="1">
      <w:start w:val="1"/>
      <w:numFmt w:val="bullet"/>
      <w:lvlText w:val="•"/>
      <w:lvlJc w:val="left"/>
      <w:pPr>
        <w:tabs>
          <w:tab w:val="num" w:pos="4320"/>
        </w:tabs>
        <w:ind w:left="4320" w:hanging="360"/>
      </w:pPr>
      <w:rPr>
        <w:rFonts w:ascii="Arial" w:hAnsi="Arial" w:hint="default"/>
      </w:rPr>
    </w:lvl>
    <w:lvl w:ilvl="6" w:tplc="BFCC70C2" w:tentative="1">
      <w:start w:val="1"/>
      <w:numFmt w:val="bullet"/>
      <w:lvlText w:val="•"/>
      <w:lvlJc w:val="left"/>
      <w:pPr>
        <w:tabs>
          <w:tab w:val="num" w:pos="5040"/>
        </w:tabs>
        <w:ind w:left="5040" w:hanging="360"/>
      </w:pPr>
      <w:rPr>
        <w:rFonts w:ascii="Arial" w:hAnsi="Arial" w:hint="default"/>
      </w:rPr>
    </w:lvl>
    <w:lvl w:ilvl="7" w:tplc="2BA00B00" w:tentative="1">
      <w:start w:val="1"/>
      <w:numFmt w:val="bullet"/>
      <w:lvlText w:val="•"/>
      <w:lvlJc w:val="left"/>
      <w:pPr>
        <w:tabs>
          <w:tab w:val="num" w:pos="5760"/>
        </w:tabs>
        <w:ind w:left="5760" w:hanging="360"/>
      </w:pPr>
      <w:rPr>
        <w:rFonts w:ascii="Arial" w:hAnsi="Arial" w:hint="default"/>
      </w:rPr>
    </w:lvl>
    <w:lvl w:ilvl="8" w:tplc="7770A5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BA3ABE"/>
    <w:multiLevelType w:val="hybridMultilevel"/>
    <w:tmpl w:val="80D60764"/>
    <w:lvl w:ilvl="0" w:tplc="E938B30A">
      <w:start w:val="1"/>
      <w:numFmt w:val="bullet"/>
      <w:lvlText w:val="•"/>
      <w:lvlJc w:val="left"/>
      <w:pPr>
        <w:tabs>
          <w:tab w:val="num" w:pos="720"/>
        </w:tabs>
        <w:ind w:left="720" w:hanging="360"/>
      </w:pPr>
      <w:rPr>
        <w:rFonts w:ascii="Arial" w:hAnsi="Arial" w:hint="default"/>
      </w:rPr>
    </w:lvl>
    <w:lvl w:ilvl="1" w:tplc="0DF4BFB8">
      <w:start w:val="20"/>
      <w:numFmt w:val="bullet"/>
      <w:lvlText w:val="•"/>
      <w:lvlJc w:val="left"/>
      <w:pPr>
        <w:tabs>
          <w:tab w:val="num" w:pos="1440"/>
        </w:tabs>
        <w:ind w:left="1440" w:hanging="360"/>
      </w:pPr>
      <w:rPr>
        <w:rFonts w:ascii="Arial" w:hAnsi="Arial" w:hint="default"/>
      </w:rPr>
    </w:lvl>
    <w:lvl w:ilvl="2" w:tplc="B060DC10" w:tentative="1">
      <w:start w:val="1"/>
      <w:numFmt w:val="bullet"/>
      <w:lvlText w:val="•"/>
      <w:lvlJc w:val="left"/>
      <w:pPr>
        <w:tabs>
          <w:tab w:val="num" w:pos="2160"/>
        </w:tabs>
        <w:ind w:left="2160" w:hanging="360"/>
      </w:pPr>
      <w:rPr>
        <w:rFonts w:ascii="Arial" w:hAnsi="Arial" w:hint="default"/>
      </w:rPr>
    </w:lvl>
    <w:lvl w:ilvl="3" w:tplc="DFEA9A82" w:tentative="1">
      <w:start w:val="1"/>
      <w:numFmt w:val="bullet"/>
      <w:lvlText w:val="•"/>
      <w:lvlJc w:val="left"/>
      <w:pPr>
        <w:tabs>
          <w:tab w:val="num" w:pos="2880"/>
        </w:tabs>
        <w:ind w:left="2880" w:hanging="360"/>
      </w:pPr>
      <w:rPr>
        <w:rFonts w:ascii="Arial" w:hAnsi="Arial" w:hint="default"/>
      </w:rPr>
    </w:lvl>
    <w:lvl w:ilvl="4" w:tplc="D882854E" w:tentative="1">
      <w:start w:val="1"/>
      <w:numFmt w:val="bullet"/>
      <w:lvlText w:val="•"/>
      <w:lvlJc w:val="left"/>
      <w:pPr>
        <w:tabs>
          <w:tab w:val="num" w:pos="3600"/>
        </w:tabs>
        <w:ind w:left="3600" w:hanging="360"/>
      </w:pPr>
      <w:rPr>
        <w:rFonts w:ascii="Arial" w:hAnsi="Arial" w:hint="default"/>
      </w:rPr>
    </w:lvl>
    <w:lvl w:ilvl="5" w:tplc="930012EC" w:tentative="1">
      <w:start w:val="1"/>
      <w:numFmt w:val="bullet"/>
      <w:lvlText w:val="•"/>
      <w:lvlJc w:val="left"/>
      <w:pPr>
        <w:tabs>
          <w:tab w:val="num" w:pos="4320"/>
        </w:tabs>
        <w:ind w:left="4320" w:hanging="360"/>
      </w:pPr>
      <w:rPr>
        <w:rFonts w:ascii="Arial" w:hAnsi="Arial" w:hint="default"/>
      </w:rPr>
    </w:lvl>
    <w:lvl w:ilvl="6" w:tplc="34A4F994" w:tentative="1">
      <w:start w:val="1"/>
      <w:numFmt w:val="bullet"/>
      <w:lvlText w:val="•"/>
      <w:lvlJc w:val="left"/>
      <w:pPr>
        <w:tabs>
          <w:tab w:val="num" w:pos="5040"/>
        </w:tabs>
        <w:ind w:left="5040" w:hanging="360"/>
      </w:pPr>
      <w:rPr>
        <w:rFonts w:ascii="Arial" w:hAnsi="Arial" w:hint="default"/>
      </w:rPr>
    </w:lvl>
    <w:lvl w:ilvl="7" w:tplc="4A086982" w:tentative="1">
      <w:start w:val="1"/>
      <w:numFmt w:val="bullet"/>
      <w:lvlText w:val="•"/>
      <w:lvlJc w:val="left"/>
      <w:pPr>
        <w:tabs>
          <w:tab w:val="num" w:pos="5760"/>
        </w:tabs>
        <w:ind w:left="5760" w:hanging="360"/>
      </w:pPr>
      <w:rPr>
        <w:rFonts w:ascii="Arial" w:hAnsi="Arial" w:hint="default"/>
      </w:rPr>
    </w:lvl>
    <w:lvl w:ilvl="8" w:tplc="409052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7A71B8"/>
    <w:multiLevelType w:val="hybridMultilevel"/>
    <w:tmpl w:val="03E2459E"/>
    <w:lvl w:ilvl="0" w:tplc="40822FB0">
      <w:start w:val="1"/>
      <w:numFmt w:val="bullet"/>
      <w:lvlText w:val="•"/>
      <w:lvlJc w:val="left"/>
      <w:pPr>
        <w:tabs>
          <w:tab w:val="num" w:pos="720"/>
        </w:tabs>
        <w:ind w:left="720" w:hanging="360"/>
      </w:pPr>
      <w:rPr>
        <w:rFonts w:ascii="Arial" w:hAnsi="Arial" w:hint="default"/>
      </w:rPr>
    </w:lvl>
    <w:lvl w:ilvl="1" w:tplc="B9A45C40" w:tentative="1">
      <w:start w:val="1"/>
      <w:numFmt w:val="bullet"/>
      <w:lvlText w:val="•"/>
      <w:lvlJc w:val="left"/>
      <w:pPr>
        <w:tabs>
          <w:tab w:val="num" w:pos="1440"/>
        </w:tabs>
        <w:ind w:left="1440" w:hanging="360"/>
      </w:pPr>
      <w:rPr>
        <w:rFonts w:ascii="Arial" w:hAnsi="Arial" w:hint="default"/>
      </w:rPr>
    </w:lvl>
    <w:lvl w:ilvl="2" w:tplc="7442713A" w:tentative="1">
      <w:start w:val="1"/>
      <w:numFmt w:val="bullet"/>
      <w:lvlText w:val="•"/>
      <w:lvlJc w:val="left"/>
      <w:pPr>
        <w:tabs>
          <w:tab w:val="num" w:pos="2160"/>
        </w:tabs>
        <w:ind w:left="2160" w:hanging="360"/>
      </w:pPr>
      <w:rPr>
        <w:rFonts w:ascii="Arial" w:hAnsi="Arial" w:hint="default"/>
      </w:rPr>
    </w:lvl>
    <w:lvl w:ilvl="3" w:tplc="50CE6348" w:tentative="1">
      <w:start w:val="1"/>
      <w:numFmt w:val="bullet"/>
      <w:lvlText w:val="•"/>
      <w:lvlJc w:val="left"/>
      <w:pPr>
        <w:tabs>
          <w:tab w:val="num" w:pos="2880"/>
        </w:tabs>
        <w:ind w:left="2880" w:hanging="360"/>
      </w:pPr>
      <w:rPr>
        <w:rFonts w:ascii="Arial" w:hAnsi="Arial" w:hint="default"/>
      </w:rPr>
    </w:lvl>
    <w:lvl w:ilvl="4" w:tplc="240E793E" w:tentative="1">
      <w:start w:val="1"/>
      <w:numFmt w:val="bullet"/>
      <w:lvlText w:val="•"/>
      <w:lvlJc w:val="left"/>
      <w:pPr>
        <w:tabs>
          <w:tab w:val="num" w:pos="3600"/>
        </w:tabs>
        <w:ind w:left="3600" w:hanging="360"/>
      </w:pPr>
      <w:rPr>
        <w:rFonts w:ascii="Arial" w:hAnsi="Arial" w:hint="default"/>
      </w:rPr>
    </w:lvl>
    <w:lvl w:ilvl="5" w:tplc="9CB67E6E" w:tentative="1">
      <w:start w:val="1"/>
      <w:numFmt w:val="bullet"/>
      <w:lvlText w:val="•"/>
      <w:lvlJc w:val="left"/>
      <w:pPr>
        <w:tabs>
          <w:tab w:val="num" w:pos="4320"/>
        </w:tabs>
        <w:ind w:left="4320" w:hanging="360"/>
      </w:pPr>
      <w:rPr>
        <w:rFonts w:ascii="Arial" w:hAnsi="Arial" w:hint="default"/>
      </w:rPr>
    </w:lvl>
    <w:lvl w:ilvl="6" w:tplc="9FDE893E" w:tentative="1">
      <w:start w:val="1"/>
      <w:numFmt w:val="bullet"/>
      <w:lvlText w:val="•"/>
      <w:lvlJc w:val="left"/>
      <w:pPr>
        <w:tabs>
          <w:tab w:val="num" w:pos="5040"/>
        </w:tabs>
        <w:ind w:left="5040" w:hanging="360"/>
      </w:pPr>
      <w:rPr>
        <w:rFonts w:ascii="Arial" w:hAnsi="Arial" w:hint="default"/>
      </w:rPr>
    </w:lvl>
    <w:lvl w:ilvl="7" w:tplc="7CBCDE0A" w:tentative="1">
      <w:start w:val="1"/>
      <w:numFmt w:val="bullet"/>
      <w:lvlText w:val="•"/>
      <w:lvlJc w:val="left"/>
      <w:pPr>
        <w:tabs>
          <w:tab w:val="num" w:pos="5760"/>
        </w:tabs>
        <w:ind w:left="5760" w:hanging="360"/>
      </w:pPr>
      <w:rPr>
        <w:rFonts w:ascii="Arial" w:hAnsi="Arial" w:hint="default"/>
      </w:rPr>
    </w:lvl>
    <w:lvl w:ilvl="8" w:tplc="C97873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726C08"/>
    <w:multiLevelType w:val="hybridMultilevel"/>
    <w:tmpl w:val="76C83B32"/>
    <w:lvl w:ilvl="0" w:tplc="8116BA14">
      <w:start w:val="1"/>
      <w:numFmt w:val="bullet"/>
      <w:lvlText w:val="•"/>
      <w:lvlJc w:val="left"/>
      <w:pPr>
        <w:tabs>
          <w:tab w:val="num" w:pos="720"/>
        </w:tabs>
        <w:ind w:left="720" w:hanging="360"/>
      </w:pPr>
      <w:rPr>
        <w:rFonts w:ascii="Arial" w:hAnsi="Arial" w:hint="default"/>
      </w:rPr>
    </w:lvl>
    <w:lvl w:ilvl="1" w:tplc="4ACE1A94">
      <w:start w:val="1"/>
      <w:numFmt w:val="bullet"/>
      <w:lvlText w:val="•"/>
      <w:lvlJc w:val="left"/>
      <w:pPr>
        <w:tabs>
          <w:tab w:val="num" w:pos="1440"/>
        </w:tabs>
        <w:ind w:left="1440" w:hanging="360"/>
      </w:pPr>
      <w:rPr>
        <w:rFonts w:ascii="Arial" w:hAnsi="Arial" w:hint="default"/>
      </w:rPr>
    </w:lvl>
    <w:lvl w:ilvl="2" w:tplc="25B852F2" w:tentative="1">
      <w:start w:val="1"/>
      <w:numFmt w:val="bullet"/>
      <w:lvlText w:val="•"/>
      <w:lvlJc w:val="left"/>
      <w:pPr>
        <w:tabs>
          <w:tab w:val="num" w:pos="2160"/>
        </w:tabs>
        <w:ind w:left="2160" w:hanging="360"/>
      </w:pPr>
      <w:rPr>
        <w:rFonts w:ascii="Arial" w:hAnsi="Arial" w:hint="default"/>
      </w:rPr>
    </w:lvl>
    <w:lvl w:ilvl="3" w:tplc="7FA45336" w:tentative="1">
      <w:start w:val="1"/>
      <w:numFmt w:val="bullet"/>
      <w:lvlText w:val="•"/>
      <w:lvlJc w:val="left"/>
      <w:pPr>
        <w:tabs>
          <w:tab w:val="num" w:pos="2880"/>
        </w:tabs>
        <w:ind w:left="2880" w:hanging="360"/>
      </w:pPr>
      <w:rPr>
        <w:rFonts w:ascii="Arial" w:hAnsi="Arial" w:hint="default"/>
      </w:rPr>
    </w:lvl>
    <w:lvl w:ilvl="4" w:tplc="92426FB4" w:tentative="1">
      <w:start w:val="1"/>
      <w:numFmt w:val="bullet"/>
      <w:lvlText w:val="•"/>
      <w:lvlJc w:val="left"/>
      <w:pPr>
        <w:tabs>
          <w:tab w:val="num" w:pos="3600"/>
        </w:tabs>
        <w:ind w:left="3600" w:hanging="360"/>
      </w:pPr>
      <w:rPr>
        <w:rFonts w:ascii="Arial" w:hAnsi="Arial" w:hint="default"/>
      </w:rPr>
    </w:lvl>
    <w:lvl w:ilvl="5" w:tplc="AC8E35AC" w:tentative="1">
      <w:start w:val="1"/>
      <w:numFmt w:val="bullet"/>
      <w:lvlText w:val="•"/>
      <w:lvlJc w:val="left"/>
      <w:pPr>
        <w:tabs>
          <w:tab w:val="num" w:pos="4320"/>
        </w:tabs>
        <w:ind w:left="4320" w:hanging="360"/>
      </w:pPr>
      <w:rPr>
        <w:rFonts w:ascii="Arial" w:hAnsi="Arial" w:hint="default"/>
      </w:rPr>
    </w:lvl>
    <w:lvl w:ilvl="6" w:tplc="8110E488" w:tentative="1">
      <w:start w:val="1"/>
      <w:numFmt w:val="bullet"/>
      <w:lvlText w:val="•"/>
      <w:lvlJc w:val="left"/>
      <w:pPr>
        <w:tabs>
          <w:tab w:val="num" w:pos="5040"/>
        </w:tabs>
        <w:ind w:left="5040" w:hanging="360"/>
      </w:pPr>
      <w:rPr>
        <w:rFonts w:ascii="Arial" w:hAnsi="Arial" w:hint="default"/>
      </w:rPr>
    </w:lvl>
    <w:lvl w:ilvl="7" w:tplc="B032DC6E" w:tentative="1">
      <w:start w:val="1"/>
      <w:numFmt w:val="bullet"/>
      <w:lvlText w:val="•"/>
      <w:lvlJc w:val="left"/>
      <w:pPr>
        <w:tabs>
          <w:tab w:val="num" w:pos="5760"/>
        </w:tabs>
        <w:ind w:left="5760" w:hanging="360"/>
      </w:pPr>
      <w:rPr>
        <w:rFonts w:ascii="Arial" w:hAnsi="Arial" w:hint="default"/>
      </w:rPr>
    </w:lvl>
    <w:lvl w:ilvl="8" w:tplc="FFC24A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D82F9B"/>
    <w:multiLevelType w:val="hybridMultilevel"/>
    <w:tmpl w:val="0A8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105BE"/>
    <w:multiLevelType w:val="hybridMultilevel"/>
    <w:tmpl w:val="05C0EE06"/>
    <w:lvl w:ilvl="0" w:tplc="FBA0F248">
      <w:start w:val="1"/>
      <w:numFmt w:val="bullet"/>
      <w:lvlText w:val="•"/>
      <w:lvlJc w:val="left"/>
      <w:pPr>
        <w:tabs>
          <w:tab w:val="num" w:pos="720"/>
        </w:tabs>
        <w:ind w:left="720" w:hanging="360"/>
      </w:pPr>
      <w:rPr>
        <w:rFonts w:ascii="Arial" w:hAnsi="Arial" w:hint="default"/>
      </w:rPr>
    </w:lvl>
    <w:lvl w:ilvl="1" w:tplc="331074A6">
      <w:start w:val="579"/>
      <w:numFmt w:val="bullet"/>
      <w:lvlText w:val="•"/>
      <w:lvlJc w:val="left"/>
      <w:pPr>
        <w:tabs>
          <w:tab w:val="num" w:pos="1440"/>
        </w:tabs>
        <w:ind w:left="1440" w:hanging="360"/>
      </w:pPr>
      <w:rPr>
        <w:rFonts w:ascii="Arial" w:hAnsi="Arial" w:hint="default"/>
      </w:rPr>
    </w:lvl>
    <w:lvl w:ilvl="2" w:tplc="98509C0E" w:tentative="1">
      <w:start w:val="1"/>
      <w:numFmt w:val="bullet"/>
      <w:lvlText w:val="•"/>
      <w:lvlJc w:val="left"/>
      <w:pPr>
        <w:tabs>
          <w:tab w:val="num" w:pos="2160"/>
        </w:tabs>
        <w:ind w:left="2160" w:hanging="360"/>
      </w:pPr>
      <w:rPr>
        <w:rFonts w:ascii="Arial" w:hAnsi="Arial" w:hint="default"/>
      </w:rPr>
    </w:lvl>
    <w:lvl w:ilvl="3" w:tplc="5546BF4E" w:tentative="1">
      <w:start w:val="1"/>
      <w:numFmt w:val="bullet"/>
      <w:lvlText w:val="•"/>
      <w:lvlJc w:val="left"/>
      <w:pPr>
        <w:tabs>
          <w:tab w:val="num" w:pos="2880"/>
        </w:tabs>
        <w:ind w:left="2880" w:hanging="360"/>
      </w:pPr>
      <w:rPr>
        <w:rFonts w:ascii="Arial" w:hAnsi="Arial" w:hint="default"/>
      </w:rPr>
    </w:lvl>
    <w:lvl w:ilvl="4" w:tplc="9BCC5EFE" w:tentative="1">
      <w:start w:val="1"/>
      <w:numFmt w:val="bullet"/>
      <w:lvlText w:val="•"/>
      <w:lvlJc w:val="left"/>
      <w:pPr>
        <w:tabs>
          <w:tab w:val="num" w:pos="3600"/>
        </w:tabs>
        <w:ind w:left="3600" w:hanging="360"/>
      </w:pPr>
      <w:rPr>
        <w:rFonts w:ascii="Arial" w:hAnsi="Arial" w:hint="default"/>
      </w:rPr>
    </w:lvl>
    <w:lvl w:ilvl="5" w:tplc="C6EE1222" w:tentative="1">
      <w:start w:val="1"/>
      <w:numFmt w:val="bullet"/>
      <w:lvlText w:val="•"/>
      <w:lvlJc w:val="left"/>
      <w:pPr>
        <w:tabs>
          <w:tab w:val="num" w:pos="4320"/>
        </w:tabs>
        <w:ind w:left="4320" w:hanging="360"/>
      </w:pPr>
      <w:rPr>
        <w:rFonts w:ascii="Arial" w:hAnsi="Arial" w:hint="default"/>
      </w:rPr>
    </w:lvl>
    <w:lvl w:ilvl="6" w:tplc="FB708942" w:tentative="1">
      <w:start w:val="1"/>
      <w:numFmt w:val="bullet"/>
      <w:lvlText w:val="•"/>
      <w:lvlJc w:val="left"/>
      <w:pPr>
        <w:tabs>
          <w:tab w:val="num" w:pos="5040"/>
        </w:tabs>
        <w:ind w:left="5040" w:hanging="360"/>
      </w:pPr>
      <w:rPr>
        <w:rFonts w:ascii="Arial" w:hAnsi="Arial" w:hint="default"/>
      </w:rPr>
    </w:lvl>
    <w:lvl w:ilvl="7" w:tplc="12B88C58" w:tentative="1">
      <w:start w:val="1"/>
      <w:numFmt w:val="bullet"/>
      <w:lvlText w:val="•"/>
      <w:lvlJc w:val="left"/>
      <w:pPr>
        <w:tabs>
          <w:tab w:val="num" w:pos="5760"/>
        </w:tabs>
        <w:ind w:left="5760" w:hanging="360"/>
      </w:pPr>
      <w:rPr>
        <w:rFonts w:ascii="Arial" w:hAnsi="Arial" w:hint="default"/>
      </w:rPr>
    </w:lvl>
    <w:lvl w:ilvl="8" w:tplc="A164F8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F16337"/>
    <w:multiLevelType w:val="hybridMultilevel"/>
    <w:tmpl w:val="E3F4955A"/>
    <w:lvl w:ilvl="0" w:tplc="3322EB1A">
      <w:start w:val="1"/>
      <w:numFmt w:val="bullet"/>
      <w:lvlText w:val="•"/>
      <w:lvlJc w:val="left"/>
      <w:pPr>
        <w:tabs>
          <w:tab w:val="num" w:pos="720"/>
        </w:tabs>
        <w:ind w:left="720" w:hanging="360"/>
      </w:pPr>
      <w:rPr>
        <w:rFonts w:ascii="Arial" w:hAnsi="Arial" w:hint="default"/>
      </w:rPr>
    </w:lvl>
    <w:lvl w:ilvl="1" w:tplc="0504BE76" w:tentative="1">
      <w:start w:val="1"/>
      <w:numFmt w:val="bullet"/>
      <w:lvlText w:val="•"/>
      <w:lvlJc w:val="left"/>
      <w:pPr>
        <w:tabs>
          <w:tab w:val="num" w:pos="1440"/>
        </w:tabs>
        <w:ind w:left="1440" w:hanging="360"/>
      </w:pPr>
      <w:rPr>
        <w:rFonts w:ascii="Arial" w:hAnsi="Arial" w:hint="default"/>
      </w:rPr>
    </w:lvl>
    <w:lvl w:ilvl="2" w:tplc="43242D32" w:tentative="1">
      <w:start w:val="1"/>
      <w:numFmt w:val="bullet"/>
      <w:lvlText w:val="•"/>
      <w:lvlJc w:val="left"/>
      <w:pPr>
        <w:tabs>
          <w:tab w:val="num" w:pos="2160"/>
        </w:tabs>
        <w:ind w:left="2160" w:hanging="360"/>
      </w:pPr>
      <w:rPr>
        <w:rFonts w:ascii="Arial" w:hAnsi="Arial" w:hint="default"/>
      </w:rPr>
    </w:lvl>
    <w:lvl w:ilvl="3" w:tplc="406E3882" w:tentative="1">
      <w:start w:val="1"/>
      <w:numFmt w:val="bullet"/>
      <w:lvlText w:val="•"/>
      <w:lvlJc w:val="left"/>
      <w:pPr>
        <w:tabs>
          <w:tab w:val="num" w:pos="2880"/>
        </w:tabs>
        <w:ind w:left="2880" w:hanging="360"/>
      </w:pPr>
      <w:rPr>
        <w:rFonts w:ascii="Arial" w:hAnsi="Arial" w:hint="default"/>
      </w:rPr>
    </w:lvl>
    <w:lvl w:ilvl="4" w:tplc="1B584AC4" w:tentative="1">
      <w:start w:val="1"/>
      <w:numFmt w:val="bullet"/>
      <w:lvlText w:val="•"/>
      <w:lvlJc w:val="left"/>
      <w:pPr>
        <w:tabs>
          <w:tab w:val="num" w:pos="3600"/>
        </w:tabs>
        <w:ind w:left="3600" w:hanging="360"/>
      </w:pPr>
      <w:rPr>
        <w:rFonts w:ascii="Arial" w:hAnsi="Arial" w:hint="default"/>
      </w:rPr>
    </w:lvl>
    <w:lvl w:ilvl="5" w:tplc="9C18B9D2" w:tentative="1">
      <w:start w:val="1"/>
      <w:numFmt w:val="bullet"/>
      <w:lvlText w:val="•"/>
      <w:lvlJc w:val="left"/>
      <w:pPr>
        <w:tabs>
          <w:tab w:val="num" w:pos="4320"/>
        </w:tabs>
        <w:ind w:left="4320" w:hanging="360"/>
      </w:pPr>
      <w:rPr>
        <w:rFonts w:ascii="Arial" w:hAnsi="Arial" w:hint="default"/>
      </w:rPr>
    </w:lvl>
    <w:lvl w:ilvl="6" w:tplc="1BAC089E" w:tentative="1">
      <w:start w:val="1"/>
      <w:numFmt w:val="bullet"/>
      <w:lvlText w:val="•"/>
      <w:lvlJc w:val="left"/>
      <w:pPr>
        <w:tabs>
          <w:tab w:val="num" w:pos="5040"/>
        </w:tabs>
        <w:ind w:left="5040" w:hanging="360"/>
      </w:pPr>
      <w:rPr>
        <w:rFonts w:ascii="Arial" w:hAnsi="Arial" w:hint="default"/>
      </w:rPr>
    </w:lvl>
    <w:lvl w:ilvl="7" w:tplc="D8829A14" w:tentative="1">
      <w:start w:val="1"/>
      <w:numFmt w:val="bullet"/>
      <w:lvlText w:val="•"/>
      <w:lvlJc w:val="left"/>
      <w:pPr>
        <w:tabs>
          <w:tab w:val="num" w:pos="5760"/>
        </w:tabs>
        <w:ind w:left="5760" w:hanging="360"/>
      </w:pPr>
      <w:rPr>
        <w:rFonts w:ascii="Arial" w:hAnsi="Arial" w:hint="default"/>
      </w:rPr>
    </w:lvl>
    <w:lvl w:ilvl="8" w:tplc="777AE9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A410D"/>
    <w:multiLevelType w:val="multilevel"/>
    <w:tmpl w:val="630A410D"/>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1C347A"/>
    <w:multiLevelType w:val="hybridMultilevel"/>
    <w:tmpl w:val="D2DA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16E4CD2"/>
    <w:multiLevelType w:val="hybridMultilevel"/>
    <w:tmpl w:val="B9A4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
  </w:num>
  <w:num w:numId="4">
    <w:abstractNumId w:val="23"/>
  </w:num>
  <w:num w:numId="5">
    <w:abstractNumId w:val="13"/>
  </w:num>
  <w:num w:numId="6">
    <w:abstractNumId w:val="10"/>
  </w:num>
  <w:num w:numId="7">
    <w:abstractNumId w:val="1"/>
  </w:num>
  <w:num w:numId="8">
    <w:abstractNumId w:val="20"/>
  </w:num>
  <w:num w:numId="9">
    <w:abstractNumId w:val="18"/>
  </w:num>
  <w:num w:numId="10">
    <w:abstractNumId w:val="5"/>
  </w:num>
  <w:num w:numId="11">
    <w:abstractNumId w:val="15"/>
  </w:num>
  <w:num w:numId="12">
    <w:abstractNumId w:val="11"/>
  </w:num>
  <w:num w:numId="13">
    <w:abstractNumId w:val="26"/>
  </w:num>
  <w:num w:numId="14">
    <w:abstractNumId w:val="21"/>
  </w:num>
  <w:num w:numId="15">
    <w:abstractNumId w:val="14"/>
  </w:num>
  <w:num w:numId="16">
    <w:abstractNumId w:val="16"/>
  </w:num>
  <w:num w:numId="17">
    <w:abstractNumId w:val="17"/>
  </w:num>
  <w:num w:numId="18">
    <w:abstractNumId w:val="4"/>
  </w:num>
  <w:num w:numId="19">
    <w:abstractNumId w:val="9"/>
  </w:num>
  <w:num w:numId="20">
    <w:abstractNumId w:val="8"/>
  </w:num>
  <w:num w:numId="21">
    <w:abstractNumId w:val="7"/>
  </w:num>
  <w:num w:numId="22">
    <w:abstractNumId w:val="22"/>
  </w:num>
  <w:num w:numId="23">
    <w:abstractNumId w:val="24"/>
  </w:num>
  <w:num w:numId="24">
    <w:abstractNumId w:val="19"/>
  </w:num>
  <w:num w:numId="25">
    <w:abstractNumId w:val="0"/>
  </w:num>
  <w:num w:numId="26">
    <w:abstractNumId w:val="6"/>
  </w:num>
  <w:num w:numId="2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AD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8B6"/>
    <w:rsid w:val="00016AF9"/>
    <w:rsid w:val="000179FC"/>
    <w:rsid w:val="00017EDA"/>
    <w:rsid w:val="00020401"/>
    <w:rsid w:val="00020881"/>
    <w:rsid w:val="000210A8"/>
    <w:rsid w:val="000214FB"/>
    <w:rsid w:val="0002157B"/>
    <w:rsid w:val="000215F4"/>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8A6"/>
    <w:rsid w:val="00037A53"/>
    <w:rsid w:val="00037F02"/>
    <w:rsid w:val="00040515"/>
    <w:rsid w:val="0004112C"/>
    <w:rsid w:val="00041DAB"/>
    <w:rsid w:val="0004269E"/>
    <w:rsid w:val="000426C7"/>
    <w:rsid w:val="00042CEE"/>
    <w:rsid w:val="00042DFE"/>
    <w:rsid w:val="000430A6"/>
    <w:rsid w:val="000433DD"/>
    <w:rsid w:val="00043767"/>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B6D"/>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0DFB"/>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708"/>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96C"/>
    <w:rsid w:val="000A6A20"/>
    <w:rsid w:val="000A6FE8"/>
    <w:rsid w:val="000A7726"/>
    <w:rsid w:val="000A77F2"/>
    <w:rsid w:val="000B03A9"/>
    <w:rsid w:val="000B0A66"/>
    <w:rsid w:val="000B0A7F"/>
    <w:rsid w:val="000B0DFE"/>
    <w:rsid w:val="000B198C"/>
    <w:rsid w:val="000B2324"/>
    <w:rsid w:val="000B24AF"/>
    <w:rsid w:val="000B24F8"/>
    <w:rsid w:val="000B278E"/>
    <w:rsid w:val="000B27CB"/>
    <w:rsid w:val="000B2931"/>
    <w:rsid w:val="000B2A9B"/>
    <w:rsid w:val="000B2FBC"/>
    <w:rsid w:val="000B3671"/>
    <w:rsid w:val="000B3B3C"/>
    <w:rsid w:val="000B423B"/>
    <w:rsid w:val="000B425E"/>
    <w:rsid w:val="000B48B6"/>
    <w:rsid w:val="000B4B3F"/>
    <w:rsid w:val="000B5100"/>
    <w:rsid w:val="000B53BB"/>
    <w:rsid w:val="000B5697"/>
    <w:rsid w:val="000B5ADF"/>
    <w:rsid w:val="000B600B"/>
    <w:rsid w:val="000B6082"/>
    <w:rsid w:val="000B616A"/>
    <w:rsid w:val="000B6915"/>
    <w:rsid w:val="000B6EF3"/>
    <w:rsid w:val="000B7849"/>
    <w:rsid w:val="000C00EA"/>
    <w:rsid w:val="000C011A"/>
    <w:rsid w:val="000C053D"/>
    <w:rsid w:val="000C071F"/>
    <w:rsid w:val="000C0A3C"/>
    <w:rsid w:val="000C0C04"/>
    <w:rsid w:val="000C0C49"/>
    <w:rsid w:val="000C0ED7"/>
    <w:rsid w:val="000C197E"/>
    <w:rsid w:val="000C22E1"/>
    <w:rsid w:val="000C2504"/>
    <w:rsid w:val="000C28E3"/>
    <w:rsid w:val="000C2D07"/>
    <w:rsid w:val="000C346F"/>
    <w:rsid w:val="000C3DBB"/>
    <w:rsid w:val="000C45FD"/>
    <w:rsid w:val="000C4E71"/>
    <w:rsid w:val="000C513B"/>
    <w:rsid w:val="000C602A"/>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4EB"/>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0C3"/>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739"/>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4A"/>
    <w:rsid w:val="0011333B"/>
    <w:rsid w:val="00113B72"/>
    <w:rsid w:val="00114869"/>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49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6E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B2A"/>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952"/>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5FE"/>
    <w:rsid w:val="00191D28"/>
    <w:rsid w:val="001921BB"/>
    <w:rsid w:val="00192E1A"/>
    <w:rsid w:val="00193934"/>
    <w:rsid w:val="001939D4"/>
    <w:rsid w:val="00193DEE"/>
    <w:rsid w:val="001942DB"/>
    <w:rsid w:val="0019461B"/>
    <w:rsid w:val="00194B45"/>
    <w:rsid w:val="0019597A"/>
    <w:rsid w:val="00195BE2"/>
    <w:rsid w:val="00196115"/>
    <w:rsid w:val="001964F8"/>
    <w:rsid w:val="00196643"/>
    <w:rsid w:val="001967D5"/>
    <w:rsid w:val="001978E1"/>
    <w:rsid w:val="00197B67"/>
    <w:rsid w:val="001A0201"/>
    <w:rsid w:val="001A0969"/>
    <w:rsid w:val="001A0CB2"/>
    <w:rsid w:val="001A102B"/>
    <w:rsid w:val="001A1035"/>
    <w:rsid w:val="001A13FB"/>
    <w:rsid w:val="001A1461"/>
    <w:rsid w:val="001A14E6"/>
    <w:rsid w:val="001A2124"/>
    <w:rsid w:val="001A225A"/>
    <w:rsid w:val="001A248E"/>
    <w:rsid w:val="001A2E9E"/>
    <w:rsid w:val="001A3744"/>
    <w:rsid w:val="001A3853"/>
    <w:rsid w:val="001A38CD"/>
    <w:rsid w:val="001A391A"/>
    <w:rsid w:val="001A3D42"/>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2C9A"/>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8EE"/>
    <w:rsid w:val="001E1AD2"/>
    <w:rsid w:val="001E1CF2"/>
    <w:rsid w:val="001E24A5"/>
    <w:rsid w:val="001E2B47"/>
    <w:rsid w:val="001E2BD4"/>
    <w:rsid w:val="001E2C4C"/>
    <w:rsid w:val="001E2C52"/>
    <w:rsid w:val="001E3BD8"/>
    <w:rsid w:val="001E48F4"/>
    <w:rsid w:val="001E59BA"/>
    <w:rsid w:val="001E59E0"/>
    <w:rsid w:val="001E5A9F"/>
    <w:rsid w:val="001E5E9C"/>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BAD"/>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954"/>
    <w:rsid w:val="00244BA8"/>
    <w:rsid w:val="00244DA7"/>
    <w:rsid w:val="0024530E"/>
    <w:rsid w:val="002453E1"/>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80062"/>
    <w:rsid w:val="002801D5"/>
    <w:rsid w:val="002803AC"/>
    <w:rsid w:val="002804F5"/>
    <w:rsid w:val="002805E5"/>
    <w:rsid w:val="00281191"/>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0D94"/>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97EE1"/>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2EC"/>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0A5"/>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302"/>
    <w:rsid w:val="003056C7"/>
    <w:rsid w:val="00305929"/>
    <w:rsid w:val="00305AAA"/>
    <w:rsid w:val="00305AC4"/>
    <w:rsid w:val="0030684E"/>
    <w:rsid w:val="003071F6"/>
    <w:rsid w:val="00307373"/>
    <w:rsid w:val="00307992"/>
    <w:rsid w:val="00307BA4"/>
    <w:rsid w:val="00307CD1"/>
    <w:rsid w:val="00310144"/>
    <w:rsid w:val="0031033E"/>
    <w:rsid w:val="003106ED"/>
    <w:rsid w:val="00310E11"/>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348"/>
    <w:rsid w:val="0033149D"/>
    <w:rsid w:val="00331903"/>
    <w:rsid w:val="00331C6A"/>
    <w:rsid w:val="00332709"/>
    <w:rsid w:val="003330A1"/>
    <w:rsid w:val="00333319"/>
    <w:rsid w:val="00333E46"/>
    <w:rsid w:val="00333F6A"/>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C37"/>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2A8"/>
    <w:rsid w:val="00360693"/>
    <w:rsid w:val="00360A11"/>
    <w:rsid w:val="00360A5E"/>
    <w:rsid w:val="003610EE"/>
    <w:rsid w:val="003611E7"/>
    <w:rsid w:val="00361A00"/>
    <w:rsid w:val="0036294F"/>
    <w:rsid w:val="00363B94"/>
    <w:rsid w:val="0036408B"/>
    <w:rsid w:val="003642A6"/>
    <w:rsid w:val="003649D3"/>
    <w:rsid w:val="00365B13"/>
    <w:rsid w:val="00365D8F"/>
    <w:rsid w:val="0036634E"/>
    <w:rsid w:val="0036652C"/>
    <w:rsid w:val="0036658D"/>
    <w:rsid w:val="0036717B"/>
    <w:rsid w:val="00367473"/>
    <w:rsid w:val="00370081"/>
    <w:rsid w:val="00370233"/>
    <w:rsid w:val="00371255"/>
    <w:rsid w:val="003716F5"/>
    <w:rsid w:val="0037170D"/>
    <w:rsid w:val="0037189D"/>
    <w:rsid w:val="00371C3B"/>
    <w:rsid w:val="00371D84"/>
    <w:rsid w:val="00372595"/>
    <w:rsid w:val="00372613"/>
    <w:rsid w:val="00372779"/>
    <w:rsid w:val="00372E81"/>
    <w:rsid w:val="00372FCC"/>
    <w:rsid w:val="00373124"/>
    <w:rsid w:val="00373590"/>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7A5"/>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5"/>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94E"/>
    <w:rsid w:val="00395ECD"/>
    <w:rsid w:val="00395FFF"/>
    <w:rsid w:val="00396692"/>
    <w:rsid w:val="00396EFC"/>
    <w:rsid w:val="00397333"/>
    <w:rsid w:val="00397F8E"/>
    <w:rsid w:val="00397FE0"/>
    <w:rsid w:val="003A052A"/>
    <w:rsid w:val="003A082E"/>
    <w:rsid w:val="003A0997"/>
    <w:rsid w:val="003A123F"/>
    <w:rsid w:val="003A14E7"/>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71A"/>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1C67"/>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146"/>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A22"/>
    <w:rsid w:val="003E0C15"/>
    <w:rsid w:val="003E0D12"/>
    <w:rsid w:val="003E15C8"/>
    <w:rsid w:val="003E172E"/>
    <w:rsid w:val="003E21A7"/>
    <w:rsid w:val="003E2734"/>
    <w:rsid w:val="003E32E1"/>
    <w:rsid w:val="003E3655"/>
    <w:rsid w:val="003E3963"/>
    <w:rsid w:val="003E4083"/>
    <w:rsid w:val="003E4570"/>
    <w:rsid w:val="003E49B4"/>
    <w:rsid w:val="003E4FE6"/>
    <w:rsid w:val="003E52D4"/>
    <w:rsid w:val="003E5F5C"/>
    <w:rsid w:val="003E60E1"/>
    <w:rsid w:val="003E6445"/>
    <w:rsid w:val="003E64A3"/>
    <w:rsid w:val="003E6FF8"/>
    <w:rsid w:val="003E7064"/>
    <w:rsid w:val="003E7416"/>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13"/>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1C26"/>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29"/>
    <w:rsid w:val="004261C0"/>
    <w:rsid w:val="004262F3"/>
    <w:rsid w:val="00426586"/>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215"/>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7E5"/>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0B2"/>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0F8F"/>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828"/>
    <w:rsid w:val="00486BFC"/>
    <w:rsid w:val="00487495"/>
    <w:rsid w:val="00487E07"/>
    <w:rsid w:val="00490B88"/>
    <w:rsid w:val="00490BE2"/>
    <w:rsid w:val="00491695"/>
    <w:rsid w:val="004918A2"/>
    <w:rsid w:val="00491F9A"/>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543"/>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CA3"/>
    <w:rsid w:val="004E32F4"/>
    <w:rsid w:val="004E3899"/>
    <w:rsid w:val="004E44C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2EA8"/>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7F4"/>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D45"/>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48B"/>
    <w:rsid w:val="00535E21"/>
    <w:rsid w:val="005368DE"/>
    <w:rsid w:val="00537407"/>
    <w:rsid w:val="00537B66"/>
    <w:rsid w:val="00537CBB"/>
    <w:rsid w:val="00540BBE"/>
    <w:rsid w:val="00540C33"/>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8B4"/>
    <w:rsid w:val="00560901"/>
    <w:rsid w:val="00560B38"/>
    <w:rsid w:val="00560B6D"/>
    <w:rsid w:val="00561270"/>
    <w:rsid w:val="005612EE"/>
    <w:rsid w:val="00561507"/>
    <w:rsid w:val="00561BEF"/>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1C4F"/>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1F0"/>
    <w:rsid w:val="00580536"/>
    <w:rsid w:val="00580926"/>
    <w:rsid w:val="00580F20"/>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36A"/>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8A7"/>
    <w:rsid w:val="005A3CA1"/>
    <w:rsid w:val="005A40C3"/>
    <w:rsid w:val="005A4906"/>
    <w:rsid w:val="005A4CFE"/>
    <w:rsid w:val="005A4DDE"/>
    <w:rsid w:val="005A4E47"/>
    <w:rsid w:val="005A58A3"/>
    <w:rsid w:val="005A5CF0"/>
    <w:rsid w:val="005A60B5"/>
    <w:rsid w:val="005A662D"/>
    <w:rsid w:val="005A684E"/>
    <w:rsid w:val="005A6A71"/>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5F9"/>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707"/>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567"/>
    <w:rsid w:val="00642E9E"/>
    <w:rsid w:val="00642FFB"/>
    <w:rsid w:val="006435DC"/>
    <w:rsid w:val="0064380B"/>
    <w:rsid w:val="00643C2F"/>
    <w:rsid w:val="00644278"/>
    <w:rsid w:val="00644625"/>
    <w:rsid w:val="00644C01"/>
    <w:rsid w:val="00645AAA"/>
    <w:rsid w:val="00645BCA"/>
    <w:rsid w:val="00645D22"/>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EC6"/>
    <w:rsid w:val="00655FB7"/>
    <w:rsid w:val="00656593"/>
    <w:rsid w:val="0065696A"/>
    <w:rsid w:val="00656AE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08"/>
    <w:rsid w:val="0067013D"/>
    <w:rsid w:val="0067024D"/>
    <w:rsid w:val="00670694"/>
    <w:rsid w:val="006717A3"/>
    <w:rsid w:val="006719FE"/>
    <w:rsid w:val="00671C7D"/>
    <w:rsid w:val="00671E28"/>
    <w:rsid w:val="00672309"/>
    <w:rsid w:val="00673312"/>
    <w:rsid w:val="006734ED"/>
    <w:rsid w:val="00673767"/>
    <w:rsid w:val="0067377D"/>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A75"/>
    <w:rsid w:val="00693C40"/>
    <w:rsid w:val="00693CE7"/>
    <w:rsid w:val="00693E7D"/>
    <w:rsid w:val="00694294"/>
    <w:rsid w:val="006942BA"/>
    <w:rsid w:val="00694488"/>
    <w:rsid w:val="00694EA5"/>
    <w:rsid w:val="006953F8"/>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E9"/>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58BF"/>
    <w:rsid w:val="006B641E"/>
    <w:rsid w:val="006B6FFD"/>
    <w:rsid w:val="006B71B0"/>
    <w:rsid w:val="006B71DD"/>
    <w:rsid w:val="006B745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8ED"/>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064"/>
    <w:rsid w:val="007032C9"/>
    <w:rsid w:val="00703723"/>
    <w:rsid w:val="00703802"/>
    <w:rsid w:val="00703976"/>
    <w:rsid w:val="00704027"/>
    <w:rsid w:val="007041D3"/>
    <w:rsid w:val="00704B8A"/>
    <w:rsid w:val="00704C9D"/>
    <w:rsid w:val="007050F7"/>
    <w:rsid w:val="007051AD"/>
    <w:rsid w:val="00705D75"/>
    <w:rsid w:val="00705FA9"/>
    <w:rsid w:val="0070610B"/>
    <w:rsid w:val="00706340"/>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B97"/>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163"/>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2CCE"/>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25E"/>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87F50"/>
    <w:rsid w:val="00790378"/>
    <w:rsid w:val="007905D5"/>
    <w:rsid w:val="00790894"/>
    <w:rsid w:val="00790EDB"/>
    <w:rsid w:val="00791230"/>
    <w:rsid w:val="00791260"/>
    <w:rsid w:val="00791995"/>
    <w:rsid w:val="00791C9B"/>
    <w:rsid w:val="007920E8"/>
    <w:rsid w:val="00792BF7"/>
    <w:rsid w:val="007931B4"/>
    <w:rsid w:val="00793793"/>
    <w:rsid w:val="00793B5B"/>
    <w:rsid w:val="007940F6"/>
    <w:rsid w:val="00794895"/>
    <w:rsid w:val="00795BA6"/>
    <w:rsid w:val="00795F06"/>
    <w:rsid w:val="007964F5"/>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01C"/>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18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10C"/>
    <w:rsid w:val="007E09EE"/>
    <w:rsid w:val="007E1201"/>
    <w:rsid w:val="007E149C"/>
    <w:rsid w:val="007E1653"/>
    <w:rsid w:val="007E2344"/>
    <w:rsid w:val="007E30DA"/>
    <w:rsid w:val="007E33B2"/>
    <w:rsid w:val="007E349F"/>
    <w:rsid w:val="007E37B1"/>
    <w:rsid w:val="007E4777"/>
    <w:rsid w:val="007E4F09"/>
    <w:rsid w:val="007E5022"/>
    <w:rsid w:val="007E525F"/>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B13"/>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5EAF"/>
    <w:rsid w:val="0082631D"/>
    <w:rsid w:val="00826DD9"/>
    <w:rsid w:val="00826F08"/>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A93"/>
    <w:rsid w:val="00833C81"/>
    <w:rsid w:val="00833E2F"/>
    <w:rsid w:val="00834460"/>
    <w:rsid w:val="008345D9"/>
    <w:rsid w:val="00834813"/>
    <w:rsid w:val="008349A9"/>
    <w:rsid w:val="00834A46"/>
    <w:rsid w:val="00834E22"/>
    <w:rsid w:val="008356EF"/>
    <w:rsid w:val="008358CE"/>
    <w:rsid w:val="00836ABB"/>
    <w:rsid w:val="00836B87"/>
    <w:rsid w:val="00836F58"/>
    <w:rsid w:val="00836F7D"/>
    <w:rsid w:val="00837011"/>
    <w:rsid w:val="00837F29"/>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6D65"/>
    <w:rsid w:val="0085772C"/>
    <w:rsid w:val="00860787"/>
    <w:rsid w:val="00860986"/>
    <w:rsid w:val="00860B57"/>
    <w:rsid w:val="0086105F"/>
    <w:rsid w:val="008613FA"/>
    <w:rsid w:val="0086192A"/>
    <w:rsid w:val="00861F23"/>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67E"/>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8A1"/>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40D"/>
    <w:rsid w:val="008F68E4"/>
    <w:rsid w:val="008F69D1"/>
    <w:rsid w:val="008F71CF"/>
    <w:rsid w:val="008F7672"/>
    <w:rsid w:val="008F7BBB"/>
    <w:rsid w:val="0090012D"/>
    <w:rsid w:val="009005A8"/>
    <w:rsid w:val="00900708"/>
    <w:rsid w:val="00900E02"/>
    <w:rsid w:val="00900FD6"/>
    <w:rsid w:val="0090134E"/>
    <w:rsid w:val="009013EF"/>
    <w:rsid w:val="009016C9"/>
    <w:rsid w:val="00901762"/>
    <w:rsid w:val="0090191F"/>
    <w:rsid w:val="00901C62"/>
    <w:rsid w:val="009022D3"/>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09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1B4F"/>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B6E"/>
    <w:rsid w:val="00977D00"/>
    <w:rsid w:val="00977E14"/>
    <w:rsid w:val="00980694"/>
    <w:rsid w:val="009808EF"/>
    <w:rsid w:val="0098096E"/>
    <w:rsid w:val="00980FF5"/>
    <w:rsid w:val="009810E6"/>
    <w:rsid w:val="00981F78"/>
    <w:rsid w:val="00982761"/>
    <w:rsid w:val="00982C19"/>
    <w:rsid w:val="00982E33"/>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836"/>
    <w:rsid w:val="009A32B0"/>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FD1"/>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D8A"/>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421"/>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511"/>
    <w:rsid w:val="009F5A15"/>
    <w:rsid w:val="009F6437"/>
    <w:rsid w:val="009F7762"/>
    <w:rsid w:val="009F77D3"/>
    <w:rsid w:val="009F78C2"/>
    <w:rsid w:val="009F790F"/>
    <w:rsid w:val="009F7D66"/>
    <w:rsid w:val="00A00F75"/>
    <w:rsid w:val="00A015A8"/>
    <w:rsid w:val="00A01966"/>
    <w:rsid w:val="00A01F46"/>
    <w:rsid w:val="00A02274"/>
    <w:rsid w:val="00A02837"/>
    <w:rsid w:val="00A036BA"/>
    <w:rsid w:val="00A03C77"/>
    <w:rsid w:val="00A0403A"/>
    <w:rsid w:val="00A040AC"/>
    <w:rsid w:val="00A043E3"/>
    <w:rsid w:val="00A04A3D"/>
    <w:rsid w:val="00A0574A"/>
    <w:rsid w:val="00A05BCC"/>
    <w:rsid w:val="00A05C6C"/>
    <w:rsid w:val="00A05FC1"/>
    <w:rsid w:val="00A06B2E"/>
    <w:rsid w:val="00A07250"/>
    <w:rsid w:val="00A078AA"/>
    <w:rsid w:val="00A07C3C"/>
    <w:rsid w:val="00A10156"/>
    <w:rsid w:val="00A10753"/>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3BA"/>
    <w:rsid w:val="00A40439"/>
    <w:rsid w:val="00A40844"/>
    <w:rsid w:val="00A40CB1"/>
    <w:rsid w:val="00A40CD6"/>
    <w:rsid w:val="00A40DFB"/>
    <w:rsid w:val="00A4110D"/>
    <w:rsid w:val="00A41D90"/>
    <w:rsid w:val="00A41E93"/>
    <w:rsid w:val="00A4280F"/>
    <w:rsid w:val="00A42850"/>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C11"/>
    <w:rsid w:val="00A5026F"/>
    <w:rsid w:val="00A50461"/>
    <w:rsid w:val="00A50AC8"/>
    <w:rsid w:val="00A50BC5"/>
    <w:rsid w:val="00A50CD6"/>
    <w:rsid w:val="00A5107C"/>
    <w:rsid w:val="00A52E06"/>
    <w:rsid w:val="00A539BC"/>
    <w:rsid w:val="00A53AFE"/>
    <w:rsid w:val="00A54DED"/>
    <w:rsid w:val="00A54EEA"/>
    <w:rsid w:val="00A559F4"/>
    <w:rsid w:val="00A5672E"/>
    <w:rsid w:val="00A56900"/>
    <w:rsid w:val="00A56A50"/>
    <w:rsid w:val="00A56B17"/>
    <w:rsid w:val="00A56C51"/>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0DB"/>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6FCF"/>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CE5"/>
    <w:rsid w:val="00AB1FCC"/>
    <w:rsid w:val="00AB23F5"/>
    <w:rsid w:val="00AB2409"/>
    <w:rsid w:val="00AB2452"/>
    <w:rsid w:val="00AB290F"/>
    <w:rsid w:val="00AB493B"/>
    <w:rsid w:val="00AB58A5"/>
    <w:rsid w:val="00AB5A3B"/>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931"/>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48"/>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3A"/>
    <w:rsid w:val="00AF009B"/>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05A"/>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5EA3"/>
    <w:rsid w:val="00B264BE"/>
    <w:rsid w:val="00B26557"/>
    <w:rsid w:val="00B26647"/>
    <w:rsid w:val="00B268E2"/>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B69"/>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668"/>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5B1B"/>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0E49"/>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42"/>
    <w:rsid w:val="00C10BC6"/>
    <w:rsid w:val="00C10C69"/>
    <w:rsid w:val="00C11C9B"/>
    <w:rsid w:val="00C1200B"/>
    <w:rsid w:val="00C123F8"/>
    <w:rsid w:val="00C12A26"/>
    <w:rsid w:val="00C12D40"/>
    <w:rsid w:val="00C12E10"/>
    <w:rsid w:val="00C12EBA"/>
    <w:rsid w:val="00C13745"/>
    <w:rsid w:val="00C13AA8"/>
    <w:rsid w:val="00C13D4F"/>
    <w:rsid w:val="00C14B2E"/>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A33"/>
    <w:rsid w:val="00C43FF0"/>
    <w:rsid w:val="00C4439A"/>
    <w:rsid w:val="00C44DCB"/>
    <w:rsid w:val="00C45063"/>
    <w:rsid w:val="00C452B1"/>
    <w:rsid w:val="00C45344"/>
    <w:rsid w:val="00C45918"/>
    <w:rsid w:val="00C466E0"/>
    <w:rsid w:val="00C46AA1"/>
    <w:rsid w:val="00C47732"/>
    <w:rsid w:val="00C47A87"/>
    <w:rsid w:val="00C500FF"/>
    <w:rsid w:val="00C5092C"/>
    <w:rsid w:val="00C50A24"/>
    <w:rsid w:val="00C50B1E"/>
    <w:rsid w:val="00C5122E"/>
    <w:rsid w:val="00C515E1"/>
    <w:rsid w:val="00C51A13"/>
    <w:rsid w:val="00C5229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92"/>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18"/>
    <w:rsid w:val="00CF3E4F"/>
    <w:rsid w:val="00CF3EF4"/>
    <w:rsid w:val="00CF3FBD"/>
    <w:rsid w:val="00CF4A93"/>
    <w:rsid w:val="00CF4EA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5EF2"/>
    <w:rsid w:val="00D064E8"/>
    <w:rsid w:val="00D06649"/>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3E"/>
    <w:rsid w:val="00D20DAF"/>
    <w:rsid w:val="00D20E25"/>
    <w:rsid w:val="00D21D10"/>
    <w:rsid w:val="00D220E7"/>
    <w:rsid w:val="00D223EA"/>
    <w:rsid w:val="00D22B2A"/>
    <w:rsid w:val="00D2369F"/>
    <w:rsid w:val="00D2429A"/>
    <w:rsid w:val="00D24CEA"/>
    <w:rsid w:val="00D2540E"/>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6E61"/>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8CB"/>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4FB"/>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19"/>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B00"/>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16E3"/>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2906"/>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58E"/>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1F"/>
    <w:rsid w:val="00DE0683"/>
    <w:rsid w:val="00DE0F67"/>
    <w:rsid w:val="00DE10B9"/>
    <w:rsid w:val="00DE15F9"/>
    <w:rsid w:val="00DE1722"/>
    <w:rsid w:val="00DE1800"/>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AD2"/>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9A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954"/>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78"/>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C44"/>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3D1"/>
    <w:rsid w:val="00E81668"/>
    <w:rsid w:val="00E817BB"/>
    <w:rsid w:val="00E8236D"/>
    <w:rsid w:val="00E825DA"/>
    <w:rsid w:val="00E82C5F"/>
    <w:rsid w:val="00E83D36"/>
    <w:rsid w:val="00E83D41"/>
    <w:rsid w:val="00E83F53"/>
    <w:rsid w:val="00E840B2"/>
    <w:rsid w:val="00E85201"/>
    <w:rsid w:val="00E85307"/>
    <w:rsid w:val="00E85C2C"/>
    <w:rsid w:val="00E85D04"/>
    <w:rsid w:val="00E861C8"/>
    <w:rsid w:val="00E8659C"/>
    <w:rsid w:val="00E87572"/>
    <w:rsid w:val="00E87F9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9A4"/>
    <w:rsid w:val="00EB3D57"/>
    <w:rsid w:val="00EB3E64"/>
    <w:rsid w:val="00EB4012"/>
    <w:rsid w:val="00EB466D"/>
    <w:rsid w:val="00EB46CC"/>
    <w:rsid w:val="00EB58AE"/>
    <w:rsid w:val="00EB663B"/>
    <w:rsid w:val="00EB6888"/>
    <w:rsid w:val="00EB6F9E"/>
    <w:rsid w:val="00EB79BE"/>
    <w:rsid w:val="00EB7B28"/>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2DF"/>
    <w:rsid w:val="00ED2A4C"/>
    <w:rsid w:val="00ED2B60"/>
    <w:rsid w:val="00ED2BB3"/>
    <w:rsid w:val="00ED3121"/>
    <w:rsid w:val="00ED3178"/>
    <w:rsid w:val="00ED32C8"/>
    <w:rsid w:val="00ED33BD"/>
    <w:rsid w:val="00ED36E1"/>
    <w:rsid w:val="00ED39D3"/>
    <w:rsid w:val="00ED3E02"/>
    <w:rsid w:val="00ED40C1"/>
    <w:rsid w:val="00ED43C1"/>
    <w:rsid w:val="00ED4974"/>
    <w:rsid w:val="00ED4BFA"/>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5E92"/>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07B"/>
    <w:rsid w:val="00F13166"/>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14D"/>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04"/>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0A9"/>
    <w:rsid w:val="00F8239C"/>
    <w:rsid w:val="00F828A9"/>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D9"/>
    <w:rsid w:val="00F90DA4"/>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C0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C1A"/>
    <w:rsid w:val="00FC5F61"/>
    <w:rsid w:val="00FC604E"/>
    <w:rsid w:val="00FC63E8"/>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2E1"/>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506"/>
    <w:rsid w:val="00FE380A"/>
    <w:rsid w:val="00FE3CDD"/>
    <w:rsid w:val="00FE41B6"/>
    <w:rsid w:val="00FE4DBB"/>
    <w:rsid w:val="00FE536D"/>
    <w:rsid w:val="00FE631D"/>
    <w:rsid w:val="00FE6958"/>
    <w:rsid w:val="00FE6A1A"/>
    <w:rsid w:val="00FE72F2"/>
    <w:rsid w:val="00FE763F"/>
    <w:rsid w:val="00FE7EDB"/>
    <w:rsid w:val="00FF0056"/>
    <w:rsid w:val="00FF0D80"/>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4BC"/>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80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E180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E180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7C401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9114270">
      <w:bodyDiv w:val="1"/>
      <w:marLeft w:val="0"/>
      <w:marRight w:val="0"/>
      <w:marTop w:val="0"/>
      <w:marBottom w:val="0"/>
      <w:divBdr>
        <w:top w:val="none" w:sz="0" w:space="0" w:color="auto"/>
        <w:left w:val="none" w:sz="0" w:space="0" w:color="auto"/>
        <w:bottom w:val="none" w:sz="0" w:space="0" w:color="auto"/>
        <w:right w:val="none" w:sz="0" w:space="0" w:color="auto"/>
      </w:divBdr>
      <w:divsChild>
        <w:div w:id="947588122">
          <w:marLeft w:val="360"/>
          <w:marRight w:val="0"/>
          <w:marTop w:val="200"/>
          <w:marBottom w:val="0"/>
          <w:divBdr>
            <w:top w:val="none" w:sz="0" w:space="0" w:color="auto"/>
            <w:left w:val="none" w:sz="0" w:space="0" w:color="auto"/>
            <w:bottom w:val="none" w:sz="0" w:space="0" w:color="auto"/>
            <w:right w:val="none" w:sz="0" w:space="0" w:color="auto"/>
          </w:divBdr>
        </w:div>
        <w:div w:id="1172138328">
          <w:marLeft w:val="1080"/>
          <w:marRight w:val="0"/>
          <w:marTop w:val="100"/>
          <w:marBottom w:val="0"/>
          <w:divBdr>
            <w:top w:val="none" w:sz="0" w:space="0" w:color="auto"/>
            <w:left w:val="none" w:sz="0" w:space="0" w:color="auto"/>
            <w:bottom w:val="none" w:sz="0" w:space="0" w:color="auto"/>
            <w:right w:val="none" w:sz="0" w:space="0" w:color="auto"/>
          </w:divBdr>
        </w:div>
        <w:div w:id="545071837">
          <w:marLeft w:val="1080"/>
          <w:marRight w:val="0"/>
          <w:marTop w:val="100"/>
          <w:marBottom w:val="0"/>
          <w:divBdr>
            <w:top w:val="none" w:sz="0" w:space="0" w:color="auto"/>
            <w:left w:val="none" w:sz="0" w:space="0" w:color="auto"/>
            <w:bottom w:val="none" w:sz="0" w:space="0" w:color="auto"/>
            <w:right w:val="none" w:sz="0" w:space="0" w:color="auto"/>
          </w:divBdr>
        </w:div>
        <w:div w:id="1380975960">
          <w:marLeft w:val="1080"/>
          <w:marRight w:val="0"/>
          <w:marTop w:val="100"/>
          <w:marBottom w:val="0"/>
          <w:divBdr>
            <w:top w:val="none" w:sz="0" w:space="0" w:color="auto"/>
            <w:left w:val="none" w:sz="0" w:space="0" w:color="auto"/>
            <w:bottom w:val="none" w:sz="0" w:space="0" w:color="auto"/>
            <w:right w:val="none" w:sz="0" w:space="0" w:color="auto"/>
          </w:divBdr>
        </w:div>
        <w:div w:id="1691489909">
          <w:marLeft w:val="1080"/>
          <w:marRight w:val="0"/>
          <w:marTop w:val="10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183672">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429776">
      <w:bodyDiv w:val="1"/>
      <w:marLeft w:val="0"/>
      <w:marRight w:val="0"/>
      <w:marTop w:val="0"/>
      <w:marBottom w:val="0"/>
      <w:divBdr>
        <w:top w:val="none" w:sz="0" w:space="0" w:color="auto"/>
        <w:left w:val="none" w:sz="0" w:space="0" w:color="auto"/>
        <w:bottom w:val="none" w:sz="0" w:space="0" w:color="auto"/>
        <w:right w:val="none" w:sz="0" w:space="0" w:color="auto"/>
      </w:divBdr>
    </w:div>
    <w:div w:id="604650091">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1823950">
      <w:bodyDiv w:val="1"/>
      <w:marLeft w:val="0"/>
      <w:marRight w:val="0"/>
      <w:marTop w:val="0"/>
      <w:marBottom w:val="0"/>
      <w:divBdr>
        <w:top w:val="none" w:sz="0" w:space="0" w:color="auto"/>
        <w:left w:val="none" w:sz="0" w:space="0" w:color="auto"/>
        <w:bottom w:val="none" w:sz="0" w:space="0" w:color="auto"/>
        <w:right w:val="none" w:sz="0" w:space="0" w:color="auto"/>
      </w:divBdr>
      <w:divsChild>
        <w:div w:id="1836148719">
          <w:marLeft w:val="360"/>
          <w:marRight w:val="0"/>
          <w:marTop w:val="200"/>
          <w:marBottom w:val="0"/>
          <w:divBdr>
            <w:top w:val="none" w:sz="0" w:space="0" w:color="auto"/>
            <w:left w:val="none" w:sz="0" w:space="0" w:color="auto"/>
            <w:bottom w:val="none" w:sz="0" w:space="0" w:color="auto"/>
            <w:right w:val="none" w:sz="0" w:space="0" w:color="auto"/>
          </w:divBdr>
        </w:div>
        <w:div w:id="1656759211">
          <w:marLeft w:val="1080"/>
          <w:marRight w:val="0"/>
          <w:marTop w:val="100"/>
          <w:marBottom w:val="0"/>
          <w:divBdr>
            <w:top w:val="none" w:sz="0" w:space="0" w:color="auto"/>
            <w:left w:val="none" w:sz="0" w:space="0" w:color="auto"/>
            <w:bottom w:val="none" w:sz="0" w:space="0" w:color="auto"/>
            <w:right w:val="none" w:sz="0" w:space="0" w:color="auto"/>
          </w:divBdr>
        </w:div>
        <w:div w:id="1914462842">
          <w:marLeft w:val="1080"/>
          <w:marRight w:val="0"/>
          <w:marTop w:val="100"/>
          <w:marBottom w:val="0"/>
          <w:divBdr>
            <w:top w:val="none" w:sz="0" w:space="0" w:color="auto"/>
            <w:left w:val="none" w:sz="0" w:space="0" w:color="auto"/>
            <w:bottom w:val="none" w:sz="0" w:space="0" w:color="auto"/>
            <w:right w:val="none" w:sz="0" w:space="0" w:color="auto"/>
          </w:divBdr>
        </w:div>
        <w:div w:id="137846755">
          <w:marLeft w:val="1080"/>
          <w:marRight w:val="0"/>
          <w:marTop w:val="100"/>
          <w:marBottom w:val="0"/>
          <w:divBdr>
            <w:top w:val="none" w:sz="0" w:space="0" w:color="auto"/>
            <w:left w:val="none" w:sz="0" w:space="0" w:color="auto"/>
            <w:bottom w:val="none" w:sz="0" w:space="0" w:color="auto"/>
            <w:right w:val="none" w:sz="0" w:space="0" w:color="auto"/>
          </w:divBdr>
        </w:div>
      </w:divsChild>
    </w:div>
    <w:div w:id="826630254">
      <w:bodyDiv w:val="1"/>
      <w:marLeft w:val="0"/>
      <w:marRight w:val="0"/>
      <w:marTop w:val="0"/>
      <w:marBottom w:val="0"/>
      <w:divBdr>
        <w:top w:val="none" w:sz="0" w:space="0" w:color="auto"/>
        <w:left w:val="none" w:sz="0" w:space="0" w:color="auto"/>
        <w:bottom w:val="none" w:sz="0" w:space="0" w:color="auto"/>
        <w:right w:val="none" w:sz="0" w:space="0" w:color="auto"/>
      </w:divBdr>
      <w:divsChild>
        <w:div w:id="152111139">
          <w:marLeft w:val="360"/>
          <w:marRight w:val="0"/>
          <w:marTop w:val="2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0484805">
      <w:bodyDiv w:val="1"/>
      <w:marLeft w:val="0"/>
      <w:marRight w:val="0"/>
      <w:marTop w:val="0"/>
      <w:marBottom w:val="0"/>
      <w:divBdr>
        <w:top w:val="none" w:sz="0" w:space="0" w:color="auto"/>
        <w:left w:val="none" w:sz="0" w:space="0" w:color="auto"/>
        <w:bottom w:val="none" w:sz="0" w:space="0" w:color="auto"/>
        <w:right w:val="none" w:sz="0" w:space="0" w:color="auto"/>
      </w:divBdr>
      <w:divsChild>
        <w:div w:id="340936360">
          <w:marLeft w:val="360"/>
          <w:marRight w:val="0"/>
          <w:marTop w:val="200"/>
          <w:marBottom w:val="0"/>
          <w:divBdr>
            <w:top w:val="none" w:sz="0" w:space="0" w:color="auto"/>
            <w:left w:val="none" w:sz="0" w:space="0" w:color="auto"/>
            <w:bottom w:val="none" w:sz="0" w:space="0" w:color="auto"/>
            <w:right w:val="none" w:sz="0" w:space="0" w:color="auto"/>
          </w:divBdr>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9796242">
      <w:bodyDiv w:val="1"/>
      <w:marLeft w:val="0"/>
      <w:marRight w:val="0"/>
      <w:marTop w:val="0"/>
      <w:marBottom w:val="0"/>
      <w:divBdr>
        <w:top w:val="none" w:sz="0" w:space="0" w:color="auto"/>
        <w:left w:val="none" w:sz="0" w:space="0" w:color="auto"/>
        <w:bottom w:val="none" w:sz="0" w:space="0" w:color="auto"/>
        <w:right w:val="none" w:sz="0" w:space="0" w:color="auto"/>
      </w:divBdr>
      <w:divsChild>
        <w:div w:id="303968968">
          <w:marLeft w:val="360"/>
          <w:marRight w:val="0"/>
          <w:marTop w:val="200"/>
          <w:marBottom w:val="0"/>
          <w:divBdr>
            <w:top w:val="none" w:sz="0" w:space="0" w:color="auto"/>
            <w:left w:val="none" w:sz="0" w:space="0" w:color="auto"/>
            <w:bottom w:val="none" w:sz="0" w:space="0" w:color="auto"/>
            <w:right w:val="none" w:sz="0" w:space="0" w:color="auto"/>
          </w:divBdr>
        </w:div>
        <w:div w:id="1489201264">
          <w:marLeft w:val="1080"/>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76900106">
      <w:bodyDiv w:val="1"/>
      <w:marLeft w:val="0"/>
      <w:marRight w:val="0"/>
      <w:marTop w:val="0"/>
      <w:marBottom w:val="0"/>
      <w:divBdr>
        <w:top w:val="none" w:sz="0" w:space="0" w:color="auto"/>
        <w:left w:val="none" w:sz="0" w:space="0" w:color="auto"/>
        <w:bottom w:val="none" w:sz="0" w:space="0" w:color="auto"/>
        <w:right w:val="none" w:sz="0" w:space="0" w:color="auto"/>
      </w:divBdr>
      <w:divsChild>
        <w:div w:id="251817867">
          <w:marLeft w:val="360"/>
          <w:marRight w:val="0"/>
          <w:marTop w:val="200"/>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9254579">
      <w:bodyDiv w:val="1"/>
      <w:marLeft w:val="0"/>
      <w:marRight w:val="0"/>
      <w:marTop w:val="0"/>
      <w:marBottom w:val="0"/>
      <w:divBdr>
        <w:top w:val="none" w:sz="0" w:space="0" w:color="auto"/>
        <w:left w:val="none" w:sz="0" w:space="0" w:color="auto"/>
        <w:bottom w:val="none" w:sz="0" w:space="0" w:color="auto"/>
        <w:right w:val="none" w:sz="0" w:space="0" w:color="auto"/>
      </w:divBdr>
      <w:divsChild>
        <w:div w:id="60367422">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971723">
      <w:bodyDiv w:val="1"/>
      <w:marLeft w:val="0"/>
      <w:marRight w:val="0"/>
      <w:marTop w:val="0"/>
      <w:marBottom w:val="0"/>
      <w:divBdr>
        <w:top w:val="none" w:sz="0" w:space="0" w:color="auto"/>
        <w:left w:val="none" w:sz="0" w:space="0" w:color="auto"/>
        <w:bottom w:val="none" w:sz="0" w:space="0" w:color="auto"/>
        <w:right w:val="none" w:sz="0" w:space="0" w:color="auto"/>
      </w:divBdr>
      <w:divsChild>
        <w:div w:id="1499299524">
          <w:marLeft w:val="360"/>
          <w:marRight w:val="0"/>
          <w:marTop w:val="20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297039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251970">
      <w:bodyDiv w:val="1"/>
      <w:marLeft w:val="0"/>
      <w:marRight w:val="0"/>
      <w:marTop w:val="0"/>
      <w:marBottom w:val="0"/>
      <w:divBdr>
        <w:top w:val="none" w:sz="0" w:space="0" w:color="auto"/>
        <w:left w:val="none" w:sz="0" w:space="0" w:color="auto"/>
        <w:bottom w:val="none" w:sz="0" w:space="0" w:color="auto"/>
        <w:right w:val="none" w:sz="0" w:space="0" w:color="auto"/>
      </w:divBdr>
      <w:divsChild>
        <w:div w:id="535312701">
          <w:marLeft w:val="360"/>
          <w:marRight w:val="0"/>
          <w:marTop w:val="200"/>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4713400">
      <w:bodyDiv w:val="1"/>
      <w:marLeft w:val="0"/>
      <w:marRight w:val="0"/>
      <w:marTop w:val="0"/>
      <w:marBottom w:val="0"/>
      <w:divBdr>
        <w:top w:val="none" w:sz="0" w:space="0" w:color="auto"/>
        <w:left w:val="none" w:sz="0" w:space="0" w:color="auto"/>
        <w:bottom w:val="none" w:sz="0" w:space="0" w:color="auto"/>
        <w:right w:val="none" w:sz="0" w:space="0" w:color="auto"/>
      </w:divBdr>
      <w:divsChild>
        <w:div w:id="220942164">
          <w:marLeft w:val="1080"/>
          <w:marRight w:val="0"/>
          <w:marTop w:val="100"/>
          <w:marBottom w:val="0"/>
          <w:divBdr>
            <w:top w:val="none" w:sz="0" w:space="0" w:color="auto"/>
            <w:left w:val="none" w:sz="0" w:space="0" w:color="auto"/>
            <w:bottom w:val="none" w:sz="0" w:space="0" w:color="auto"/>
            <w:right w:val="none" w:sz="0" w:space="0" w:color="auto"/>
          </w:divBdr>
        </w:div>
        <w:div w:id="943727208">
          <w:marLeft w:val="1080"/>
          <w:marRight w:val="0"/>
          <w:marTop w:val="100"/>
          <w:marBottom w:val="0"/>
          <w:divBdr>
            <w:top w:val="none" w:sz="0" w:space="0" w:color="auto"/>
            <w:left w:val="none" w:sz="0" w:space="0" w:color="auto"/>
            <w:bottom w:val="none" w:sz="0" w:space="0" w:color="auto"/>
            <w:right w:val="none" w:sz="0" w:space="0" w:color="auto"/>
          </w:divBdr>
        </w:div>
        <w:div w:id="1848595969">
          <w:marLeft w:val="1080"/>
          <w:marRight w:val="0"/>
          <w:marTop w:val="100"/>
          <w:marBottom w:val="0"/>
          <w:divBdr>
            <w:top w:val="none" w:sz="0" w:space="0" w:color="auto"/>
            <w:left w:val="none" w:sz="0" w:space="0" w:color="auto"/>
            <w:bottom w:val="none" w:sz="0" w:space="0" w:color="auto"/>
            <w:right w:val="none" w:sz="0" w:space="0" w:color="auto"/>
          </w:divBdr>
        </w:div>
        <w:div w:id="980695670">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9179975">
      <w:bodyDiv w:val="1"/>
      <w:marLeft w:val="0"/>
      <w:marRight w:val="0"/>
      <w:marTop w:val="0"/>
      <w:marBottom w:val="0"/>
      <w:divBdr>
        <w:top w:val="none" w:sz="0" w:space="0" w:color="auto"/>
        <w:left w:val="none" w:sz="0" w:space="0" w:color="auto"/>
        <w:bottom w:val="none" w:sz="0" w:space="0" w:color="auto"/>
        <w:right w:val="none" w:sz="0" w:space="0" w:color="auto"/>
      </w:divBdr>
      <w:divsChild>
        <w:div w:id="1120223890">
          <w:marLeft w:val="360"/>
          <w:marRight w:val="0"/>
          <w:marTop w:val="200"/>
          <w:marBottom w:val="0"/>
          <w:divBdr>
            <w:top w:val="none" w:sz="0" w:space="0" w:color="auto"/>
            <w:left w:val="none" w:sz="0" w:space="0" w:color="auto"/>
            <w:bottom w:val="none" w:sz="0" w:space="0" w:color="auto"/>
            <w:right w:val="none" w:sz="0" w:space="0" w:color="auto"/>
          </w:divBdr>
        </w:div>
        <w:div w:id="1913003825">
          <w:marLeft w:val="1080"/>
          <w:marRight w:val="0"/>
          <w:marTop w:val="100"/>
          <w:marBottom w:val="0"/>
          <w:divBdr>
            <w:top w:val="none" w:sz="0" w:space="0" w:color="auto"/>
            <w:left w:val="none" w:sz="0" w:space="0" w:color="auto"/>
            <w:bottom w:val="none" w:sz="0" w:space="0" w:color="auto"/>
            <w:right w:val="none" w:sz="0" w:space="0" w:color="auto"/>
          </w:divBdr>
        </w:div>
        <w:div w:id="1956250122">
          <w:marLeft w:val="1080"/>
          <w:marRight w:val="0"/>
          <w:marTop w:val="100"/>
          <w:marBottom w:val="0"/>
          <w:divBdr>
            <w:top w:val="none" w:sz="0" w:space="0" w:color="auto"/>
            <w:left w:val="none" w:sz="0" w:space="0" w:color="auto"/>
            <w:bottom w:val="none" w:sz="0" w:space="0" w:color="auto"/>
            <w:right w:val="none" w:sz="0" w:space="0" w:color="auto"/>
          </w:divBdr>
        </w:div>
        <w:div w:id="311763690">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720638">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19D76-B5D7-4CB1-9274-9577D3B0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2020-08-06T05:45:00Z</dcterms:created>
  <dcterms:modified xsi:type="dcterms:W3CDTF">2020-08-07T07:08:00Z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